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388FB40B" w:rsidR="00346AB9" w:rsidRPr="00FF21D2" w:rsidRDefault="00E93150" w:rsidP="00E5068E">
            <w:pPr>
              <w:pStyle w:val="BodyText"/>
              <w:rPr>
                <w:rFonts w:ascii="Tahoma" w:hAnsi="Tahoma" w:cs="Tahoma"/>
                <w:color w:val="000000"/>
                <w:sz w:val="20"/>
              </w:rPr>
            </w:pPr>
            <w:r>
              <w:rPr>
                <w:rFonts w:ascii="Tahoma" w:hAnsi="Tahoma" w:cs="Tahoma"/>
                <w:color w:val="000000"/>
                <w:sz w:val="20"/>
              </w:rPr>
              <w:t>1</w:t>
            </w:r>
            <w:r w:rsidR="00A27D14">
              <w:rPr>
                <w:rFonts w:ascii="Tahoma" w:hAnsi="Tahoma" w:cs="Tahoma"/>
                <w:color w:val="000000"/>
                <w:sz w:val="20"/>
              </w:rPr>
              <w:t>1</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5C9748D1" w:rsidR="003A2200" w:rsidRDefault="003A2200" w:rsidP="00E5068E">
            <w:pPr>
              <w:pStyle w:val="BodyText"/>
              <w:rPr>
                <w:rFonts w:ascii="Tahoma" w:hAnsi="Tahoma" w:cs="Tahoma"/>
                <w:color w:val="000000"/>
                <w:sz w:val="20"/>
              </w:rPr>
            </w:pPr>
            <w:r>
              <w:rPr>
                <w:rFonts w:ascii="Tahoma" w:hAnsi="Tahoma" w:cs="Tahoma"/>
                <w:color w:val="000000"/>
                <w:sz w:val="20"/>
              </w:rPr>
              <w:t xml:space="preserve">All Aspris </w:t>
            </w:r>
            <w:r w:rsidR="00A27D14">
              <w:rPr>
                <w:rFonts w:ascii="Tahoma" w:hAnsi="Tahoma" w:cs="Tahoma"/>
                <w:color w:val="000000"/>
                <w:sz w:val="20"/>
              </w:rPr>
              <w:t>Homes/ schools/ Colleges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59544EA0" w:rsidR="007809D4" w:rsidRPr="00FF21D2" w:rsidRDefault="00D14BDA" w:rsidP="007809D4">
            <w:pPr>
              <w:pStyle w:val="BodyText"/>
              <w:rPr>
                <w:rFonts w:ascii="Tahoma" w:hAnsi="Tahoma" w:cs="Tahoma"/>
                <w:color w:val="000000"/>
                <w:sz w:val="20"/>
              </w:rPr>
            </w:pPr>
            <w:r>
              <w:rPr>
                <w:rFonts w:ascii="Tahoma" w:hAnsi="Tahoma" w:cs="Tahoma"/>
                <w:color w:val="000000"/>
                <w:sz w:val="20"/>
              </w:rPr>
              <w:t>18</w:t>
            </w:r>
            <w:r w:rsidR="007809D4">
              <w:rPr>
                <w:rFonts w:ascii="Tahoma" w:hAnsi="Tahoma" w:cs="Tahoma"/>
                <w:color w:val="000000"/>
                <w:sz w:val="20"/>
              </w:rPr>
              <w:t>/0</w:t>
            </w:r>
            <w:r w:rsidR="00A27D14">
              <w:rPr>
                <w:rFonts w:ascii="Tahoma" w:hAnsi="Tahoma" w:cs="Tahoma"/>
                <w:color w:val="000000"/>
                <w:sz w:val="20"/>
              </w:rPr>
              <w:t>5</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proofErr w:type="gramStart"/>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w:t>
            </w:r>
            <w:proofErr w:type="gramEnd"/>
            <w:r w:rsidR="006964C6" w:rsidRPr="003A2200">
              <w:rPr>
                <w:rFonts w:ascii="Tahoma" w:hAnsi="Tahoma" w:cs="Tahoma"/>
                <w:sz w:val="20"/>
                <w:szCs w:val="20"/>
              </w:rPr>
              <w:t xml:space="preserve">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proofErr w:type="gramStart"/>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w:t>
            </w:r>
            <w:proofErr w:type="gramEnd"/>
            <w:r w:rsidR="00F32286" w:rsidRPr="003A2200">
              <w:rPr>
                <w:rFonts w:ascii="Tahoma" w:hAnsi="Tahoma" w:cs="Tahoma"/>
                <w:sz w:val="20"/>
                <w:szCs w:val="20"/>
              </w:rPr>
              <w:t xml:space="preserve">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proofErr w:type="gramStart"/>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roofErr w:type="gramEnd"/>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proofErr w:type="gramStart"/>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w:t>
            </w:r>
            <w:proofErr w:type="gramEnd"/>
            <w:r w:rsidR="006964C6" w:rsidRPr="003A2200">
              <w:rPr>
                <w:rFonts w:ascii="Tahoma" w:hAnsi="Tahoma" w:cs="Tahoma"/>
                <w:sz w:val="20"/>
                <w:szCs w:val="20"/>
              </w:rPr>
              <w:t xml:space="preserve">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proofErr w:type="gramStart"/>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w:t>
            </w:r>
            <w:proofErr w:type="gramEnd"/>
            <w:r w:rsidR="004F6BEE" w:rsidRPr="003A2200">
              <w:rPr>
                <w:rFonts w:ascii="Tahoma" w:hAnsi="Tahoma" w:cs="Tahoma"/>
                <w:sz w:val="20"/>
                <w:szCs w:val="20"/>
              </w:rPr>
              <w:t xml:space="preserve">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proofErr w:type="gramStart"/>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w:t>
            </w:r>
            <w:proofErr w:type="gramEnd"/>
            <w:r w:rsidRPr="003A2200">
              <w:rPr>
                <w:rFonts w:ascii="Tahoma" w:hAnsi="Tahoma" w:cs="Tahoma"/>
                <w:sz w:val="20"/>
                <w:szCs w:val="20"/>
              </w:rPr>
              <w:t xml:space="preserve">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proofErr w:type="gramStart"/>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w:t>
            </w:r>
            <w:proofErr w:type="gramEnd"/>
            <w:r w:rsidRPr="003A2200">
              <w:rPr>
                <w:rFonts w:ascii="Tahoma" w:hAnsi="Tahoma" w:cs="Tahoma"/>
                <w:sz w:val="20"/>
                <w:szCs w:val="20"/>
              </w:rPr>
              <w:t xml:space="preserve">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proofErr w:type="gramStart"/>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w:t>
            </w:r>
            <w:proofErr w:type="gramEnd"/>
            <w:r w:rsidR="004F6BEE" w:rsidRPr="003A2200">
              <w:rPr>
                <w:rFonts w:ascii="Tahoma" w:hAnsi="Tahoma" w:cs="Tahoma"/>
                <w:sz w:val="20"/>
                <w:szCs w:val="20"/>
              </w:rPr>
              <w:t xml:space="preserve">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proofErr w:type="gramStart"/>
            <w:r>
              <w:rPr>
                <w:rFonts w:ascii="Tahoma" w:hAnsi="Tahoma" w:cs="Tahoma"/>
                <w:sz w:val="20"/>
                <w:szCs w:val="20"/>
              </w:rPr>
              <w:tab/>
              <w:t xml:space="preserve">  Home</w:t>
            </w:r>
            <w:proofErr w:type="gramEnd"/>
            <w:r>
              <w:rPr>
                <w:rFonts w:ascii="Tahoma" w:hAnsi="Tahoma" w:cs="Tahoma"/>
                <w:sz w:val="20"/>
                <w:szCs w:val="20"/>
              </w:rPr>
              <w:t xml:space="preserv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proofErr w:type="gramStart"/>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w:t>
            </w:r>
            <w:proofErr w:type="gramEnd"/>
            <w:r w:rsidR="00EE3C3A" w:rsidRPr="00EE3C3A">
              <w:rPr>
                <w:rFonts w:ascii="Tahoma" w:hAnsi="Tahoma" w:cs="Tahoma"/>
                <w:sz w:val="20"/>
                <w:szCs w:val="20"/>
              </w:rPr>
              <w:t xml:space="preserve">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proofErr w:type="gramStart"/>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proofErr w:type="gramEnd"/>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 xml:space="preserve">protected </w:t>
            </w:r>
            <w:proofErr w:type="gramStart"/>
            <w:r w:rsidR="006E2F64">
              <w:rPr>
                <w:rFonts w:ascii="Tahoma" w:hAnsi="Tahoma" w:cs="Tahoma"/>
                <w:sz w:val="16"/>
                <w:szCs w:val="16"/>
              </w:rPr>
              <w:t>characteristics</w:t>
            </w:r>
            <w:proofErr w:type="gramEnd"/>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5B1F6A1B">
                <wp:simplePos x="0" y="0"/>
                <wp:positionH relativeFrom="column">
                  <wp:posOffset>-257175</wp:posOffset>
                </wp:positionH>
                <wp:positionV relativeFrom="page">
                  <wp:posOffset>9006840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20.25pt;margin-top:709.2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w:t>
            </w:r>
            <w:proofErr w:type="gramStart"/>
            <w:r w:rsidRPr="00AA4D03">
              <w:rPr>
                <w:rFonts w:ascii="Tahoma" w:hAnsi="Tahoma" w:cs="Tahoma"/>
                <w:color w:val="000000"/>
                <w:sz w:val="20"/>
                <w:szCs w:val="20"/>
              </w:rPr>
              <w:t>provide assistance</w:t>
            </w:r>
            <w:proofErr w:type="gramEnd"/>
            <w:r w:rsidRPr="00AA4D03">
              <w:rPr>
                <w:rFonts w:ascii="Tahoma" w:hAnsi="Tahoma" w:cs="Tahoma"/>
                <w:color w:val="000000"/>
                <w:sz w:val="20"/>
                <w:szCs w:val="20"/>
              </w:rPr>
              <w:t xml:space="preserv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3F3AA15B" w:rsidR="00D46199" w:rsidRPr="00E93150" w:rsidRDefault="002D1F62" w:rsidP="00FB44FE">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r w:rsidR="000E22E0">
              <w:rPr>
                <w:rFonts w:ascii="Tahoma" w:hAnsi="Tahoma" w:cs="Tahoma"/>
                <w:sz w:val="20"/>
                <w:szCs w:val="20"/>
                <w:lang w:eastAsia="en-GB"/>
              </w:rPr>
              <w:t xml:space="preserve"> </w:t>
            </w:r>
            <w:r w:rsidR="00B2119E" w:rsidRPr="00B2119E">
              <w:rPr>
                <w:rFonts w:ascii="Tahoma" w:hAnsi="Tahoma" w:cs="Tahoma"/>
                <w:sz w:val="20"/>
                <w:szCs w:val="20"/>
                <w:lang w:eastAsia="en-GB"/>
              </w:rPr>
              <w:t xml:space="preserve">To ensure a fair and objective process, any colleague, </w:t>
            </w:r>
            <w:r w:rsidR="00B2119E" w:rsidRPr="00B2119E">
              <w:rPr>
                <w:rFonts w:ascii="Tahoma" w:hAnsi="Tahoma" w:cs="Tahoma"/>
                <w:sz w:val="20"/>
                <w:szCs w:val="20"/>
                <w:lang w:val="en-US" w:eastAsia="en-GB"/>
              </w:rPr>
              <w:t xml:space="preserve">Registered </w:t>
            </w:r>
            <w:r w:rsidR="00B2119E" w:rsidRPr="00B2119E">
              <w:rPr>
                <w:rFonts w:ascii="Tahoma" w:hAnsi="Tahoma" w:cs="Tahoma"/>
                <w:sz w:val="20"/>
                <w:szCs w:val="20"/>
                <w:lang w:eastAsia="en-GB"/>
              </w:rPr>
              <w:t>Manager/Head Teacher, or colleague connected to the subject matter of a complaint, or who was involved in the events leading up to the complaint, will not be involved in the investigation, decision-making, or hearing of any element of that complaint. If a conflict of interest is identified, the complaint will be assigned to an independent person with no prior involvement in the matter. The individual(s) under investigation will be invited to provide evidence as part of the investigation process; however, will not participate in any decision</w:t>
            </w:r>
            <w:r w:rsidR="00B2119E" w:rsidRPr="00B2119E">
              <w:rPr>
                <w:rFonts w:ascii="Tahoma" w:hAnsi="Tahoma" w:cs="Tahoma"/>
                <w:sz w:val="20"/>
                <w:szCs w:val="20"/>
                <w:lang w:eastAsia="en-GB"/>
              </w:rPr>
              <w:noBreakHyphen/>
              <w:t>making or determining the outcome.</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w:t>
            </w:r>
            <w:proofErr w:type="gramStart"/>
            <w:r w:rsidRPr="00AA4D03">
              <w:rPr>
                <w:rFonts w:ascii="Tahoma" w:hAnsi="Tahoma" w:cs="Tahoma"/>
                <w:sz w:val="20"/>
                <w:szCs w:val="20"/>
              </w:rPr>
              <w:t>identified</w:t>
            </w:r>
            <w:proofErr w:type="gramEnd"/>
            <w:r w:rsidRPr="00AA4D03">
              <w:rPr>
                <w:rFonts w:ascii="Tahoma" w:hAnsi="Tahoma" w:cs="Tahoma"/>
                <w:sz w:val="20"/>
                <w:szCs w:val="20"/>
              </w:rPr>
              <w:t xml:space="preserve">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proofErr w:type="gramStart"/>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proofErr w:type="gramEnd"/>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lastRenderedPageBreak/>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proofErr w:type="spellStart"/>
            <w:r w:rsidRPr="00197AB4">
              <w:rPr>
                <w:rFonts w:ascii="Tahoma" w:hAnsi="Tahoma" w:cs="Tahoma"/>
                <w:color w:val="000000" w:themeColor="text1"/>
                <w:sz w:val="20"/>
                <w:szCs w:val="20"/>
              </w:rPr>
              <w:t>minuted</w:t>
            </w:r>
            <w:proofErr w:type="spellEnd"/>
            <w:r w:rsidRPr="00197AB4">
              <w:rPr>
                <w:rFonts w:ascii="Tahoma" w:hAnsi="Tahoma" w:cs="Tahoma"/>
                <w:color w:val="000000" w:themeColor="text1"/>
                <w:sz w:val="20"/>
                <w:szCs w:val="20"/>
              </w:rPr>
              <w:t xml:space="preserve">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proofErr w:type="gramStart"/>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proofErr w:type="gramEnd"/>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 xml:space="preserve">receipt. This will provide an assurance that we have received and noted any additional comments made or the issues raised and that these will be fully </w:t>
            </w:r>
            <w:proofErr w:type="gramStart"/>
            <w:r>
              <w:rPr>
                <w:rFonts w:ascii="Tahoma" w:hAnsi="Tahoma" w:cs="Tahoma"/>
                <w:color w:val="000000"/>
                <w:sz w:val="20"/>
                <w:szCs w:val="20"/>
              </w:rPr>
              <w:t>taken into account</w:t>
            </w:r>
            <w:proofErr w:type="gramEnd"/>
            <w:r>
              <w:rPr>
                <w:rFonts w:ascii="Tahoma" w:hAnsi="Tahoma" w:cs="Tahoma"/>
                <w:color w:val="000000"/>
                <w:sz w:val="20"/>
                <w:szCs w:val="20"/>
              </w:rPr>
              <w:t xml:space="preserve">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w:t>
            </w:r>
            <w:proofErr w:type="spellStart"/>
            <w:r w:rsidR="00A13CC9">
              <w:rPr>
                <w:rFonts w:ascii="Tahoma" w:hAnsi="Tahoma" w:cs="Tahoma"/>
                <w:color w:val="000000" w:themeColor="text1"/>
                <w:sz w:val="20"/>
                <w:szCs w:val="20"/>
              </w:rPr>
              <w:t>i</w:t>
            </w:r>
            <w:proofErr w:type="spellEnd"/>
            <w:r w:rsidR="00A13CC9">
              <w:rPr>
                <w:rFonts w:ascii="Tahoma" w:hAnsi="Tahoma" w:cs="Tahoma"/>
                <w:color w:val="000000" w:themeColor="text1"/>
                <w:sz w:val="20"/>
                <w:szCs w:val="20"/>
              </w:rPr>
              <w:t>)</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w:t>
            </w:r>
            <w:proofErr w:type="gramStart"/>
            <w:r w:rsidR="00D413D9">
              <w:rPr>
                <w:rFonts w:ascii="Tahoma" w:hAnsi="Tahoma" w:cs="Tahoma"/>
                <w:color w:val="000000"/>
                <w:sz w:val="20"/>
                <w:szCs w:val="20"/>
              </w:rPr>
              <w:t>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w:t>
            </w:r>
            <w:proofErr w:type="gramEnd"/>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lastRenderedPageBreak/>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lastRenderedPageBreak/>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w:t>
            </w:r>
            <w:proofErr w:type="gramStart"/>
            <w:r w:rsidRPr="00197AB4">
              <w:rPr>
                <w:rFonts w:ascii="Tahoma" w:hAnsi="Tahoma" w:cs="Tahoma"/>
                <w:color w:val="000000" w:themeColor="text1"/>
                <w:sz w:val="20"/>
                <w:szCs w:val="20"/>
              </w:rPr>
              <w:t xml:space="preserve">an </w:t>
            </w:r>
            <w:r w:rsidR="00B959CC">
              <w:rPr>
                <w:rFonts w:ascii="Tahoma" w:hAnsi="Tahoma" w:cs="Tahoma"/>
                <w:color w:val="000000" w:themeColor="text1"/>
                <w:sz w:val="20"/>
                <w:szCs w:val="20"/>
              </w:rPr>
              <w:t xml:space="preserve"> Regional</w:t>
            </w:r>
            <w:proofErr w:type="gramEnd"/>
            <w:r w:rsidR="00B959CC">
              <w:rPr>
                <w:rFonts w:ascii="Tahoma" w:hAnsi="Tahoma" w:cs="Tahoma"/>
                <w:color w:val="000000" w:themeColor="text1"/>
                <w:sz w:val="20"/>
                <w:szCs w:val="20"/>
              </w:rPr>
              <w:t>/Area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w:t>
            </w:r>
            <w:proofErr w:type="spellStart"/>
            <w:r w:rsidR="00575742">
              <w:rPr>
                <w:rFonts w:ascii="Tahoma" w:hAnsi="Tahoma" w:cs="Tahoma"/>
                <w:bCs/>
                <w:color w:val="000000" w:themeColor="text1"/>
              </w:rPr>
              <w:t>ordinator</w:t>
            </w:r>
            <w:proofErr w:type="spellEnd"/>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proofErr w:type="spellStart"/>
            <w:r w:rsidR="00D232BD">
              <w:rPr>
                <w:rFonts w:ascii="Tahoma" w:hAnsi="Tahoma" w:cs="Tahoma"/>
                <w:lang w:val="en-US"/>
              </w:rPr>
              <w:t>Aspris</w:t>
            </w:r>
            <w:r w:rsidRPr="00AA4D03">
              <w:rPr>
                <w:rFonts w:ascii="Tahoma" w:hAnsi="Tahoma" w:cs="Tahoma"/>
                <w:lang w:val="en-US"/>
              </w:rPr>
              <w:t>’s</w:t>
            </w:r>
            <w:proofErr w:type="spellEnd"/>
            <w:r w:rsidRPr="00AA4D03">
              <w:rPr>
                <w:rFonts w:ascii="Tahoma" w:hAnsi="Tahoma" w:cs="Tahoma"/>
                <w:lang w:val="en-US"/>
              </w:rPr>
              <w:t xml:space="preserve"> loss adjustors and Insurers.</w:t>
            </w:r>
            <w:r w:rsidR="00663765">
              <w:rPr>
                <w:rFonts w:ascii="Tahoma" w:hAnsi="Tahoma" w:cs="Tahoma"/>
                <w:lang w:val="en-US"/>
              </w:rPr>
              <w:t xml:space="preserve"> </w:t>
            </w:r>
            <w:r w:rsidRPr="00AA4D03">
              <w:rPr>
                <w:rFonts w:ascii="Tahoma" w:hAnsi="Tahoma" w:cs="Tahoma"/>
                <w:lang w:val="en-US"/>
              </w:rPr>
              <w:t xml:space="preserve">The Group Risk Manager will be responsible for </w:t>
            </w:r>
            <w:proofErr w:type="gramStart"/>
            <w:r w:rsidRPr="00AA4D03">
              <w:rPr>
                <w:rFonts w:ascii="Tahoma" w:hAnsi="Tahoma" w:cs="Tahoma"/>
                <w:lang w:val="en-US"/>
              </w:rPr>
              <w:t>collating</w:t>
            </w:r>
            <w:proofErr w:type="gramEnd"/>
            <w:r w:rsidRPr="00AA4D03">
              <w:rPr>
                <w:rFonts w:ascii="Tahoma" w:hAnsi="Tahoma" w:cs="Tahoma"/>
                <w:lang w:val="en-US"/>
              </w:rPr>
              <w:t xml:space="preserve">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0404B5F8"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00173CB1">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w:t>
            </w:r>
            <w:proofErr w:type="gramStart"/>
            <w:r w:rsidRPr="00AA4D03">
              <w:rPr>
                <w:rFonts w:ascii="Tahoma" w:hAnsi="Tahoma" w:cs="Tahoma"/>
                <w:sz w:val="20"/>
                <w:szCs w:val="20"/>
                <w:lang w:val="en-US"/>
              </w:rPr>
              <w:t>it is clear that the</w:t>
            </w:r>
            <w:proofErr w:type="gramEnd"/>
            <w:r w:rsidRPr="00AA4D03">
              <w:rPr>
                <w:rFonts w:ascii="Tahoma" w:hAnsi="Tahoma" w:cs="Tahoma"/>
                <w:sz w:val="20"/>
                <w:szCs w:val="20"/>
                <w:lang w:val="en-US"/>
              </w:rPr>
              <w:t xml:space="preserv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w:t>
            </w:r>
            <w:proofErr w:type="gramStart"/>
            <w:r w:rsidRPr="00AA4D03">
              <w:rPr>
                <w:rFonts w:ascii="Tahoma" w:hAnsi="Tahoma" w:cs="Tahoma"/>
                <w:sz w:val="20"/>
                <w:szCs w:val="20"/>
                <w:lang w:val="en-US"/>
              </w:rPr>
              <w:t xml:space="preserve">the </w:t>
            </w:r>
            <w:r w:rsidR="00610BC5">
              <w:rPr>
                <w:rFonts w:ascii="Tahoma" w:hAnsi="Tahoma" w:cs="Tahoma"/>
                <w:sz w:val="20"/>
                <w:szCs w:val="20"/>
                <w:lang w:val="en-US"/>
              </w:rPr>
              <w:t xml:space="preserve"> Regional</w:t>
            </w:r>
            <w:proofErr w:type="gramEnd"/>
            <w:r w:rsidR="00610BC5">
              <w:rPr>
                <w:rFonts w:ascii="Tahoma" w:hAnsi="Tahoma" w:cs="Tahoma"/>
                <w:sz w:val="20"/>
                <w:szCs w:val="20"/>
                <w:lang w:val="en-US"/>
              </w:rPr>
              <w:t>/Area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w:t>
            </w:r>
            <w:proofErr w:type="gramStart"/>
            <w:r w:rsidR="00641E61" w:rsidRPr="00E433AF">
              <w:rPr>
                <w:rFonts w:ascii="Tahoma" w:hAnsi="Tahoma" w:cs="Tahoma"/>
                <w:color w:val="000000"/>
                <w:sz w:val="20"/>
                <w:szCs w:val="20"/>
                <w:lang w:val="en-US"/>
              </w:rPr>
              <w:t>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w:t>
            </w:r>
            <w:proofErr w:type="gramEnd"/>
            <w:r w:rsidR="00611F61">
              <w:rPr>
                <w:rFonts w:ascii="Tahoma" w:hAnsi="Tahoma" w:cs="Tahoma"/>
                <w:color w:val="000000"/>
                <w:sz w:val="20"/>
                <w:szCs w:val="20"/>
                <w:lang w:val="en-US"/>
              </w:rPr>
              <w:t>/Area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lastRenderedPageBreak/>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w:t>
            </w:r>
            <w:proofErr w:type="gramStart"/>
            <w:r w:rsidR="00ED2E44">
              <w:rPr>
                <w:rFonts w:ascii="Tahoma" w:hAnsi="Tahoma" w:cs="Tahoma"/>
                <w:color w:val="000000"/>
                <w:sz w:val="20"/>
                <w:szCs w:val="20"/>
              </w:rPr>
              <w:t>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w:t>
            </w:r>
            <w:proofErr w:type="gramEnd"/>
            <w:r w:rsidRPr="00AA4D03">
              <w:rPr>
                <w:rFonts w:ascii="Tahoma" w:hAnsi="Tahoma" w:cs="Tahoma"/>
                <w:sz w:val="20"/>
                <w:szCs w:val="20"/>
              </w:rPr>
              <w:t xml:space="preserve">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 xml:space="preserve">used in applying </w:t>
            </w:r>
            <w:proofErr w:type="gramStart"/>
            <w:r w:rsidR="00BC173C">
              <w:rPr>
                <w:rFonts w:ascii="Tahoma" w:hAnsi="Tahoma" w:cs="Tahoma"/>
                <w:sz w:val="20"/>
                <w:szCs w:val="20"/>
              </w:rPr>
              <w:t>this criteria</w:t>
            </w:r>
            <w:proofErr w:type="gramEnd"/>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w:t>
            </w:r>
            <w:r w:rsidRPr="00E433AF">
              <w:rPr>
                <w:rFonts w:ascii="Tahoma" w:hAnsi="Tahoma" w:cs="Tahoma"/>
                <w:color w:val="000000"/>
                <w:sz w:val="20"/>
                <w:szCs w:val="20"/>
              </w:rPr>
              <w:lastRenderedPageBreak/>
              <w:t>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lastRenderedPageBreak/>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w:t>
      </w:r>
      <w:proofErr w:type="gramStart"/>
      <w:r w:rsidRPr="00C84E1D">
        <w:rPr>
          <w:rFonts w:ascii="Tahoma" w:hAnsi="Tahoma" w:cs="Tahoma"/>
          <w:b/>
          <w:bCs/>
          <w:sz w:val="20"/>
          <w:szCs w:val="20"/>
        </w:rPr>
        <w:t xml:space="preserve">Form </w:t>
      </w:r>
      <w:r w:rsidR="00FE3DF6" w:rsidRPr="00C84E1D">
        <w:rPr>
          <w:rFonts w:ascii="Tahoma" w:hAnsi="Tahoma" w:cs="Tahoma"/>
          <w:b/>
          <w:bCs/>
          <w:sz w:val="20"/>
          <w:szCs w:val="20"/>
        </w:rPr>
        <w:t>:</w:t>
      </w:r>
      <w:proofErr w:type="gramEnd"/>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4F9C"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1A0B"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D0CB"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4B15D"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DE15"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2C42D"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94A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2DF0E"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309D"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30F"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F5504"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D937" w14:textId="77777777" w:rsidR="006B7E93" w:rsidRDefault="006B7E93">
      <w:r>
        <w:separator/>
      </w:r>
    </w:p>
  </w:endnote>
  <w:endnote w:type="continuationSeparator" w:id="0">
    <w:p w14:paraId="645EB400" w14:textId="77777777" w:rsidR="006B7E93" w:rsidRDefault="006B7E93">
      <w:r>
        <w:continuationSeparator/>
      </w:r>
    </w:p>
  </w:endnote>
  <w:endnote w:type="continuationNotice" w:id="1">
    <w:p w14:paraId="5DA06384" w14:textId="77777777" w:rsidR="006B7E93" w:rsidRDefault="006B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4442BC95"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A27D14">
      <w:rPr>
        <w:rFonts w:ascii="Tahoma" w:hAnsi="Tahoma" w:cs="Tahoma"/>
        <w:color w:val="000000"/>
        <w:sz w:val="16"/>
      </w:rPr>
      <w:t xml:space="preserve">May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4A4CAB70"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 </w:t>
    </w:r>
    <w:r w:rsidR="00A27D14">
      <w:rPr>
        <w:rFonts w:ascii="Tahoma" w:hAnsi="Tahoma" w:cs="Tahoma"/>
        <w:color w:val="000000"/>
        <w:sz w:val="16"/>
      </w:rPr>
      <w:t xml:space="preserve">May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182BF419"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Pr="00FF21D2">
      <w:rPr>
        <w:rFonts w:ascii="Tahoma" w:hAnsi="Tahoma" w:cs="Tahoma"/>
        <w:color w:val="000000"/>
        <w:sz w:val="16"/>
      </w:rPr>
      <w:t xml:space="preserve"> – </w:t>
    </w:r>
    <w:r w:rsidR="00A27D14">
      <w:rPr>
        <w:rFonts w:ascii="Tahoma" w:hAnsi="Tahoma" w:cs="Tahoma"/>
        <w:color w:val="000000"/>
        <w:sz w:val="16"/>
      </w:rPr>
      <w:t>Ma</w:t>
    </w:r>
    <w:r w:rsidR="00E93150">
      <w:rPr>
        <w:rFonts w:ascii="Tahoma" w:hAnsi="Tahoma" w:cs="Tahoma"/>
        <w:color w:val="000000"/>
        <w:sz w:val="16"/>
      </w:rPr>
      <w:t>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9FB3" w14:textId="77777777" w:rsidR="006B7E93" w:rsidRDefault="006B7E93">
      <w:r>
        <w:separator/>
      </w:r>
    </w:p>
  </w:footnote>
  <w:footnote w:type="continuationSeparator" w:id="0">
    <w:p w14:paraId="64A6ABA5" w14:textId="77777777" w:rsidR="006B7E93" w:rsidRDefault="006B7E93">
      <w:r>
        <w:continuationSeparator/>
      </w:r>
    </w:p>
  </w:footnote>
  <w:footnote w:type="continuationNotice" w:id="1">
    <w:p w14:paraId="390B3749" w14:textId="77777777" w:rsidR="006B7E93" w:rsidRDefault="006B7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PQS5kDLUsGqTrqC5QPqeYubC81VgWLNDTtJLO/0ZpQes2xWt3UrO/GuaDavIFVEIKb/2bCJBGzqIU038KXOig==" w:salt="XMt+veAhpWx7uzg5fZjvG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032"/>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55F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E60"/>
    <w:rsid w:val="000D3F8E"/>
    <w:rsid w:val="000D4C44"/>
    <w:rsid w:val="000E0F22"/>
    <w:rsid w:val="000E1696"/>
    <w:rsid w:val="000E1E16"/>
    <w:rsid w:val="000E22E0"/>
    <w:rsid w:val="000E23A6"/>
    <w:rsid w:val="000E2CA7"/>
    <w:rsid w:val="000E338A"/>
    <w:rsid w:val="000E42E5"/>
    <w:rsid w:val="000E4345"/>
    <w:rsid w:val="000E5064"/>
    <w:rsid w:val="000E7B7B"/>
    <w:rsid w:val="000F23D9"/>
    <w:rsid w:val="000F2AC9"/>
    <w:rsid w:val="000F779E"/>
    <w:rsid w:val="00100A2C"/>
    <w:rsid w:val="00103255"/>
    <w:rsid w:val="00106554"/>
    <w:rsid w:val="00113E04"/>
    <w:rsid w:val="001165C4"/>
    <w:rsid w:val="00117F79"/>
    <w:rsid w:val="001201CA"/>
    <w:rsid w:val="001233CA"/>
    <w:rsid w:val="0012572C"/>
    <w:rsid w:val="0012691A"/>
    <w:rsid w:val="00126C90"/>
    <w:rsid w:val="001277F9"/>
    <w:rsid w:val="00130251"/>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3CB1"/>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7AF"/>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4606C"/>
    <w:rsid w:val="002529CD"/>
    <w:rsid w:val="0025755C"/>
    <w:rsid w:val="002579B5"/>
    <w:rsid w:val="00257BB2"/>
    <w:rsid w:val="002617D6"/>
    <w:rsid w:val="00262F30"/>
    <w:rsid w:val="00263F6C"/>
    <w:rsid w:val="00264EB5"/>
    <w:rsid w:val="00265456"/>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D72ED"/>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845"/>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17FD"/>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270"/>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B7E9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379"/>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0815"/>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0F93"/>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01C"/>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27D14"/>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5FA6"/>
    <w:rsid w:val="00AB6022"/>
    <w:rsid w:val="00AB7FA8"/>
    <w:rsid w:val="00AC063E"/>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119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BD1"/>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42A"/>
    <w:rsid w:val="00CA759F"/>
    <w:rsid w:val="00CB00B3"/>
    <w:rsid w:val="00CB1AAC"/>
    <w:rsid w:val="00CB2E57"/>
    <w:rsid w:val="00CB40EC"/>
    <w:rsid w:val="00CB6E43"/>
    <w:rsid w:val="00CC06D1"/>
    <w:rsid w:val="00CC06E5"/>
    <w:rsid w:val="00CC1A63"/>
    <w:rsid w:val="00CC217D"/>
    <w:rsid w:val="00CC3A7E"/>
    <w:rsid w:val="00CC643C"/>
    <w:rsid w:val="00CC71D7"/>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4BDA"/>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272E"/>
    <w:rsid w:val="00D45128"/>
    <w:rsid w:val="00D45634"/>
    <w:rsid w:val="00D45DD9"/>
    <w:rsid w:val="00D46020"/>
    <w:rsid w:val="00D46199"/>
    <w:rsid w:val="00D5315B"/>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2A6"/>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473E3"/>
    <w:rsid w:val="00F507E8"/>
    <w:rsid w:val="00F527F8"/>
    <w:rsid w:val="00F547E3"/>
    <w:rsid w:val="00F54ABB"/>
    <w:rsid w:val="00F57440"/>
    <w:rsid w:val="00F607DD"/>
    <w:rsid w:val="00F60C0C"/>
    <w:rsid w:val="00F640E5"/>
    <w:rsid w:val="00F64BB6"/>
    <w:rsid w:val="00F661F7"/>
    <w:rsid w:val="00F6621E"/>
    <w:rsid w:val="00F66FE5"/>
    <w:rsid w:val="00F7177A"/>
    <w:rsid w:val="00F76BA3"/>
    <w:rsid w:val="00F76FFC"/>
    <w:rsid w:val="00F81A82"/>
    <w:rsid w:val="00F83107"/>
    <w:rsid w:val="00F831F3"/>
    <w:rsid w:val="00F84424"/>
    <w:rsid w:val="00F9398F"/>
    <w:rsid w:val="00F96478"/>
    <w:rsid w:val="00F970FD"/>
    <w:rsid w:val="00F97B5B"/>
    <w:rsid w:val="00F97BDF"/>
    <w:rsid w:val="00FA0D1B"/>
    <w:rsid w:val="00FA1597"/>
    <w:rsid w:val="00FA307A"/>
    <w:rsid w:val="00FA4954"/>
    <w:rsid w:val="00FA5244"/>
    <w:rsid w:val="00FA683E"/>
    <w:rsid w:val="00FA7954"/>
    <w:rsid w:val="00FB0351"/>
    <w:rsid w:val="00FB24D2"/>
    <w:rsid w:val="00FB44FE"/>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2W57XEQYCH7W-1411702595-161924</_dlc_DocId>
    <_dlc_DocIdUrl xmlns="1f251ff6-c877-4e87-86cd-05f3dcccd393">
      <Url>https://aspris.sharepoint.com/sites/LegalShare/_layouts/15/DocIdRedir.aspx?ID=2W57XEQYCH7W-1411702595-161924</Url>
      <Description>2W57XEQYCH7W-1411702595-161924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2370e542c82365221dd1cd3799fcb3ab">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b55ba3bfeb58b8eb7f30e6771044f47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2.xml><?xml version="1.0" encoding="utf-8"?>
<ds:datastoreItem xmlns:ds="http://schemas.openxmlformats.org/officeDocument/2006/customXml" ds:itemID="{CDE77815-F582-45A9-9F34-E09FA1332DC8}">
  <ds:schemaRefs>
    <ds:schemaRef ds:uri="http://schemas.microsoft.com/sharepoint/events"/>
  </ds:schemaRefs>
</ds:datastoreItem>
</file>

<file path=customXml/itemProps3.xml><?xml version="1.0" encoding="utf-8"?>
<ds:datastoreItem xmlns:ds="http://schemas.openxmlformats.org/officeDocument/2006/customXml" ds:itemID="{C3915918-31F9-4E33-8CB1-AE88F965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9EA2A-4338-4C76-8F66-A15EA6A89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6800</Words>
  <Characters>40875</Characters>
  <Application>Microsoft Office Word</Application>
  <DocSecurity>8</DocSecurity>
  <Lines>2043</Lines>
  <Paragraphs>1537</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46138</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Rebecca Lowther</cp:lastModifiedBy>
  <cp:revision>3</cp:revision>
  <cp:lastPrinted>2026-05-18T11:30:00Z</cp:lastPrinted>
  <dcterms:created xsi:type="dcterms:W3CDTF">2026-05-14T09:46:00Z</dcterms:created>
  <dcterms:modified xsi:type="dcterms:W3CDTF">2026-05-18T11:30:00Z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cb43ca24-9a37-4e22-96de-70ed070ca708</vt:lpwstr>
  </property>
  <property fmtid="{D5CDD505-2E9C-101B-9397-08002B2CF9AE}" pid="4" name="MediaServiceImageTags">
    <vt:lpwstr/>
  </property>
</Properties>
</file>