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5386" w14:textId="7F1B09D1" w:rsidR="00714039" w:rsidRDefault="00D36B5A" w:rsidP="00C457CC">
      <w:pPr>
        <w:jc w:val="both"/>
      </w:pPr>
      <w:r>
        <w:rPr>
          <w:rFonts w:ascii="Tahoma" w:hAnsi="Tahoma" w:cs="Tahoma"/>
          <w:noProof/>
          <w:color w:val="365F91"/>
        </w:rPr>
        <w:drawing>
          <wp:anchor distT="0" distB="0" distL="114300" distR="114300" simplePos="0" relativeHeight="251658240" behindDoc="1" locked="0" layoutInCell="1" allowOverlap="1" wp14:anchorId="16B70E45" wp14:editId="3F7B1EAA">
            <wp:simplePos x="0" y="0"/>
            <wp:positionH relativeFrom="margin">
              <wp:align>left</wp:align>
            </wp:positionH>
            <wp:positionV relativeFrom="paragraph">
              <wp:posOffset>-621665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Style w:val="TableGrid"/>
        <w:tblW w:w="0" w:type="auto"/>
        <w:tblLook w:val="04A0" w:firstRow="1" w:lastRow="0" w:firstColumn="1" w:lastColumn="0" w:noHBand="0" w:noVBand="1"/>
      </w:tblPr>
      <w:tblGrid>
        <w:gridCol w:w="3434"/>
        <w:gridCol w:w="5582"/>
      </w:tblGrid>
      <w:tr w:rsidR="007B05E9" w14:paraId="11B6E6F0" w14:textId="77777777" w:rsidTr="008C0321">
        <w:tc>
          <w:tcPr>
            <w:tcW w:w="3510" w:type="dxa"/>
            <w:shd w:val="clear" w:color="auto" w:fill="DBE5F1" w:themeFill="accent1" w:themeFillTint="33"/>
          </w:tcPr>
          <w:p w14:paraId="3687E9E9" w14:textId="000B2BE8" w:rsidR="007B05E9" w:rsidRPr="00847CED" w:rsidRDefault="007B05E9" w:rsidP="00C457CC">
            <w:pPr>
              <w:jc w:val="both"/>
              <w:rPr>
                <w:b/>
              </w:rPr>
            </w:pPr>
            <w:r w:rsidRPr="00847CED">
              <w:rPr>
                <w:b/>
              </w:rPr>
              <w:t>Local Procedure Title</w:t>
            </w:r>
          </w:p>
        </w:tc>
        <w:tc>
          <w:tcPr>
            <w:tcW w:w="5732" w:type="dxa"/>
          </w:tcPr>
          <w:p w14:paraId="17256C42" w14:textId="77777777" w:rsidR="007B05E9" w:rsidRPr="001F544A" w:rsidRDefault="001C2CD5" w:rsidP="00C457CC">
            <w:pPr>
              <w:jc w:val="both"/>
              <w:rPr>
                <w:b/>
              </w:rPr>
            </w:pPr>
            <w:r>
              <w:rPr>
                <w:b/>
              </w:rPr>
              <w:t>Curriculum</w:t>
            </w:r>
          </w:p>
        </w:tc>
      </w:tr>
      <w:tr w:rsidR="007B05E9" w14:paraId="160F7197" w14:textId="77777777" w:rsidTr="008C0321">
        <w:tc>
          <w:tcPr>
            <w:tcW w:w="3510" w:type="dxa"/>
            <w:shd w:val="clear" w:color="auto" w:fill="DBE5F1" w:themeFill="accent1" w:themeFillTint="33"/>
          </w:tcPr>
          <w:p w14:paraId="30C63930" w14:textId="41DE32E2" w:rsidR="007B05E9" w:rsidRPr="00847CED" w:rsidRDefault="007B05E9" w:rsidP="00C457CC">
            <w:pPr>
              <w:jc w:val="both"/>
              <w:rPr>
                <w:b/>
              </w:rPr>
            </w:pPr>
            <w:r w:rsidRPr="00847CED">
              <w:rPr>
                <w:b/>
              </w:rPr>
              <w:t>S</w:t>
            </w:r>
            <w:r w:rsidR="00CA15C8">
              <w:rPr>
                <w:b/>
              </w:rPr>
              <w:t>ervice</w:t>
            </w:r>
          </w:p>
        </w:tc>
        <w:tc>
          <w:tcPr>
            <w:tcW w:w="5732" w:type="dxa"/>
          </w:tcPr>
          <w:p w14:paraId="3F8CC286" w14:textId="77777777" w:rsidR="007B05E9" w:rsidRPr="001F544A" w:rsidRDefault="007B05E9" w:rsidP="00C457CC">
            <w:pPr>
              <w:jc w:val="both"/>
              <w:rPr>
                <w:b/>
              </w:rPr>
            </w:pPr>
          </w:p>
        </w:tc>
      </w:tr>
      <w:tr w:rsidR="007B05E9" w14:paraId="3ED316BC" w14:textId="77777777" w:rsidTr="008C0321">
        <w:tc>
          <w:tcPr>
            <w:tcW w:w="3510" w:type="dxa"/>
            <w:shd w:val="clear" w:color="auto" w:fill="DBE5F1" w:themeFill="accent1" w:themeFillTint="33"/>
          </w:tcPr>
          <w:p w14:paraId="69855856" w14:textId="3E9B7086" w:rsidR="007B05E9" w:rsidRPr="00847CED" w:rsidRDefault="000E4296" w:rsidP="00C457CC">
            <w:pPr>
              <w:jc w:val="both"/>
              <w:rPr>
                <w:b/>
              </w:rPr>
            </w:pPr>
            <w:r>
              <w:rPr>
                <w:b/>
              </w:rPr>
              <w:t>A</w:t>
            </w:r>
            <w:r w:rsidR="007B05E9" w:rsidRPr="00847CED">
              <w:rPr>
                <w:b/>
              </w:rPr>
              <w:t xml:space="preserve">CS Policy </w:t>
            </w:r>
            <w:r w:rsidR="00847CED">
              <w:rPr>
                <w:b/>
              </w:rPr>
              <w:t>number and t</w:t>
            </w:r>
            <w:r w:rsidR="00847CED" w:rsidRPr="00847CED">
              <w:rPr>
                <w:b/>
              </w:rPr>
              <w:t>itle</w:t>
            </w:r>
          </w:p>
        </w:tc>
        <w:tc>
          <w:tcPr>
            <w:tcW w:w="5732" w:type="dxa"/>
          </w:tcPr>
          <w:p w14:paraId="3B9ADB12" w14:textId="77597923" w:rsidR="007B05E9" w:rsidRPr="001F544A" w:rsidRDefault="004251A8" w:rsidP="00C457CC">
            <w:pPr>
              <w:jc w:val="both"/>
              <w:rPr>
                <w:b/>
              </w:rPr>
            </w:pPr>
            <w:r>
              <w:rPr>
                <w:b/>
              </w:rPr>
              <w:t>A</w:t>
            </w:r>
            <w:r w:rsidR="00BE4844" w:rsidRPr="001F544A">
              <w:rPr>
                <w:b/>
              </w:rPr>
              <w:t xml:space="preserve">CS </w:t>
            </w:r>
            <w:r w:rsidR="00B24B26">
              <w:rPr>
                <w:b/>
              </w:rPr>
              <w:t>3</w:t>
            </w:r>
            <w:r w:rsidR="001C2CD5">
              <w:rPr>
                <w:b/>
              </w:rPr>
              <w:t>1</w:t>
            </w:r>
            <w:r w:rsidR="00BE4844" w:rsidRPr="001F544A">
              <w:rPr>
                <w:b/>
              </w:rPr>
              <w:t xml:space="preserve"> </w:t>
            </w:r>
            <w:r w:rsidR="001C2CD5">
              <w:rPr>
                <w:b/>
              </w:rPr>
              <w:t>Curriculum</w:t>
            </w:r>
          </w:p>
        </w:tc>
      </w:tr>
      <w:tr w:rsidR="008C0321" w14:paraId="4E281FEC" w14:textId="77777777" w:rsidTr="008C0321">
        <w:tc>
          <w:tcPr>
            <w:tcW w:w="3510" w:type="dxa"/>
            <w:shd w:val="clear" w:color="auto" w:fill="DBE5F1" w:themeFill="accent1" w:themeFillTint="33"/>
          </w:tcPr>
          <w:p w14:paraId="431BF1EE" w14:textId="77777777" w:rsidR="008C0321" w:rsidRPr="00847CED" w:rsidRDefault="008C0321" w:rsidP="00C457CC">
            <w:pPr>
              <w:jc w:val="both"/>
              <w:rPr>
                <w:b/>
              </w:rPr>
            </w:pPr>
            <w:r>
              <w:rPr>
                <w:b/>
              </w:rPr>
              <w:t>Local Procedure template reference</w:t>
            </w:r>
          </w:p>
        </w:tc>
        <w:tc>
          <w:tcPr>
            <w:tcW w:w="5732" w:type="dxa"/>
          </w:tcPr>
          <w:p w14:paraId="221D03D1" w14:textId="2E3DEB47" w:rsidR="008C0321" w:rsidRPr="001F544A" w:rsidRDefault="004251A8" w:rsidP="00C457CC">
            <w:pPr>
              <w:jc w:val="both"/>
              <w:rPr>
                <w:b/>
              </w:rPr>
            </w:pPr>
            <w:r>
              <w:rPr>
                <w:b/>
              </w:rPr>
              <w:t>A</w:t>
            </w:r>
            <w:r w:rsidR="00BE4844" w:rsidRPr="001F544A">
              <w:rPr>
                <w:b/>
              </w:rPr>
              <w:t xml:space="preserve">CS LP </w:t>
            </w:r>
            <w:r w:rsidR="00B24B26">
              <w:rPr>
                <w:b/>
              </w:rPr>
              <w:t>3</w:t>
            </w:r>
            <w:r w:rsidR="001C2CD5">
              <w:rPr>
                <w:b/>
              </w:rPr>
              <w:t>1</w:t>
            </w:r>
            <w:r w:rsidR="00BE4844" w:rsidRPr="001F544A">
              <w:rPr>
                <w:b/>
              </w:rPr>
              <w:t xml:space="preserve"> </w:t>
            </w:r>
          </w:p>
        </w:tc>
      </w:tr>
      <w:tr w:rsidR="007B05E9" w14:paraId="0B0DFB25" w14:textId="77777777" w:rsidTr="008C0321">
        <w:tc>
          <w:tcPr>
            <w:tcW w:w="3510" w:type="dxa"/>
            <w:shd w:val="clear" w:color="auto" w:fill="DBE5F1" w:themeFill="accent1" w:themeFillTint="33"/>
          </w:tcPr>
          <w:p w14:paraId="745D8702" w14:textId="77777777" w:rsidR="007B05E9" w:rsidRPr="00847CED" w:rsidRDefault="00847CED" w:rsidP="00C457CC">
            <w:pPr>
              <w:jc w:val="both"/>
              <w:rPr>
                <w:b/>
              </w:rPr>
            </w:pPr>
            <w:r w:rsidRPr="00847CED">
              <w:rPr>
                <w:b/>
              </w:rPr>
              <w:t>Local Procedure date</w:t>
            </w:r>
          </w:p>
        </w:tc>
        <w:tc>
          <w:tcPr>
            <w:tcW w:w="5732" w:type="dxa"/>
          </w:tcPr>
          <w:p w14:paraId="4311559B" w14:textId="64938E24" w:rsidR="007B05E9" w:rsidRDefault="00F27F92" w:rsidP="00C457CC">
            <w:pPr>
              <w:jc w:val="both"/>
            </w:pPr>
            <w:r>
              <w:t>25/09/2025</w:t>
            </w:r>
          </w:p>
        </w:tc>
      </w:tr>
      <w:tr w:rsidR="007B05E9" w14:paraId="5323C590" w14:textId="77777777" w:rsidTr="008C0321">
        <w:tc>
          <w:tcPr>
            <w:tcW w:w="3510" w:type="dxa"/>
            <w:shd w:val="clear" w:color="auto" w:fill="DBE5F1" w:themeFill="accent1" w:themeFillTint="33"/>
          </w:tcPr>
          <w:p w14:paraId="32687A22" w14:textId="77777777" w:rsidR="007B05E9" w:rsidRPr="00847CED" w:rsidRDefault="00847CED" w:rsidP="00C457CC">
            <w:pPr>
              <w:jc w:val="both"/>
              <w:rPr>
                <w:b/>
              </w:rPr>
            </w:pPr>
            <w:r w:rsidRPr="00847CED">
              <w:rPr>
                <w:b/>
              </w:rPr>
              <w:t>Local Procedure review date</w:t>
            </w:r>
          </w:p>
        </w:tc>
        <w:tc>
          <w:tcPr>
            <w:tcW w:w="5732" w:type="dxa"/>
          </w:tcPr>
          <w:p w14:paraId="6D222CF6" w14:textId="4A0D0266" w:rsidR="007B05E9" w:rsidRDefault="00F27F92" w:rsidP="00C457CC">
            <w:pPr>
              <w:jc w:val="both"/>
            </w:pPr>
            <w:r>
              <w:t>Annually</w:t>
            </w:r>
          </w:p>
        </w:tc>
      </w:tr>
      <w:tr w:rsidR="007B05E9" w14:paraId="3298E550" w14:textId="77777777" w:rsidTr="008C0321">
        <w:tc>
          <w:tcPr>
            <w:tcW w:w="3510" w:type="dxa"/>
            <w:shd w:val="clear" w:color="auto" w:fill="DBE5F1" w:themeFill="accent1" w:themeFillTint="33"/>
          </w:tcPr>
          <w:p w14:paraId="1E5F0A3E" w14:textId="77777777" w:rsidR="007B05E9" w:rsidRPr="00847CED" w:rsidRDefault="00847CED" w:rsidP="00C457CC">
            <w:pPr>
              <w:jc w:val="both"/>
              <w:rPr>
                <w:b/>
              </w:rPr>
            </w:pPr>
            <w:r w:rsidRPr="00847CED">
              <w:rPr>
                <w:b/>
              </w:rPr>
              <w:t>Local Procedure Author(s)</w:t>
            </w:r>
          </w:p>
        </w:tc>
        <w:tc>
          <w:tcPr>
            <w:tcW w:w="5732" w:type="dxa"/>
          </w:tcPr>
          <w:p w14:paraId="3F18B9B3" w14:textId="115717CE" w:rsidR="007B05E9" w:rsidRDefault="00F27F92" w:rsidP="00C457CC">
            <w:pPr>
              <w:jc w:val="both"/>
            </w:pPr>
            <w:r>
              <w:t>Lisle Smith</w:t>
            </w:r>
          </w:p>
        </w:tc>
      </w:tr>
      <w:tr w:rsidR="007B05E9" w14:paraId="6D4F7E43" w14:textId="77777777" w:rsidTr="008C0321">
        <w:tc>
          <w:tcPr>
            <w:tcW w:w="3510" w:type="dxa"/>
            <w:shd w:val="clear" w:color="auto" w:fill="DBE5F1" w:themeFill="accent1" w:themeFillTint="33"/>
          </w:tcPr>
          <w:p w14:paraId="2EA20D5F" w14:textId="77777777" w:rsidR="007B05E9" w:rsidRPr="00847CED" w:rsidRDefault="00847CED" w:rsidP="00C457CC">
            <w:pPr>
              <w:jc w:val="both"/>
              <w:rPr>
                <w:b/>
              </w:rPr>
            </w:pPr>
            <w:r w:rsidRPr="00847CED">
              <w:rPr>
                <w:b/>
              </w:rPr>
              <w:t>Local Procedure Ratification</w:t>
            </w:r>
          </w:p>
        </w:tc>
        <w:tc>
          <w:tcPr>
            <w:tcW w:w="5732" w:type="dxa"/>
          </w:tcPr>
          <w:p w14:paraId="19E7D127" w14:textId="3A006155" w:rsidR="007B05E9" w:rsidRPr="008C0321" w:rsidRDefault="00847CED" w:rsidP="00C457CC">
            <w:pPr>
              <w:jc w:val="both"/>
              <w:rPr>
                <w:sz w:val="20"/>
                <w:szCs w:val="20"/>
              </w:rPr>
            </w:pPr>
            <w:r w:rsidRPr="008C0321">
              <w:rPr>
                <w:sz w:val="20"/>
                <w:szCs w:val="20"/>
              </w:rPr>
              <w:t xml:space="preserve">Checked and </w:t>
            </w:r>
            <w:proofErr w:type="gramStart"/>
            <w:r w:rsidRPr="008C0321">
              <w:rPr>
                <w:sz w:val="20"/>
                <w:szCs w:val="20"/>
              </w:rPr>
              <w:t>Approved</w:t>
            </w:r>
            <w:proofErr w:type="gramEnd"/>
            <w:r w:rsidRPr="008C0321">
              <w:rPr>
                <w:sz w:val="20"/>
                <w:szCs w:val="20"/>
              </w:rPr>
              <w:t xml:space="preserve"> by:           </w:t>
            </w:r>
            <w:r w:rsidR="00F27F92">
              <w:rPr>
                <w:sz w:val="20"/>
                <w:szCs w:val="20"/>
              </w:rPr>
              <w:t>E Potterton</w:t>
            </w:r>
            <w:r w:rsidRPr="008C0321">
              <w:rPr>
                <w:sz w:val="20"/>
                <w:szCs w:val="20"/>
              </w:rPr>
              <w:t xml:space="preserve">   </w:t>
            </w:r>
            <w:r w:rsidR="00ED27F4">
              <w:rPr>
                <w:sz w:val="20"/>
                <w:szCs w:val="20"/>
              </w:rPr>
              <w:t xml:space="preserve">                               </w:t>
            </w:r>
          </w:p>
        </w:tc>
      </w:tr>
    </w:tbl>
    <w:p w14:paraId="1DABB9EB" w14:textId="77777777" w:rsidR="00847CED" w:rsidRPr="00847CED" w:rsidRDefault="00847CED" w:rsidP="00C457CC">
      <w:pPr>
        <w:jc w:val="both"/>
      </w:pPr>
    </w:p>
    <w:tbl>
      <w:tblPr>
        <w:tblStyle w:val="TableGrid"/>
        <w:tblW w:w="9050" w:type="dxa"/>
        <w:tblInd w:w="-37" w:type="dxa"/>
        <w:tblLook w:val="04A0" w:firstRow="1" w:lastRow="0" w:firstColumn="1" w:lastColumn="0" w:noHBand="0" w:noVBand="1"/>
      </w:tblPr>
      <w:tblGrid>
        <w:gridCol w:w="9050"/>
      </w:tblGrid>
      <w:tr w:rsidR="00867994" w:rsidRPr="0021017D" w14:paraId="3258DDE7" w14:textId="77777777" w:rsidTr="00867994">
        <w:tc>
          <w:tcPr>
            <w:tcW w:w="9050" w:type="dxa"/>
            <w:tcBorders>
              <w:top w:val="single" w:sz="6" w:space="0" w:color="auto"/>
              <w:left w:val="single" w:sz="6" w:space="0" w:color="auto"/>
              <w:bottom w:val="single" w:sz="6" w:space="0" w:color="auto"/>
              <w:right w:val="single" w:sz="6" w:space="0" w:color="auto"/>
            </w:tcBorders>
          </w:tcPr>
          <w:p w14:paraId="60081D4C" w14:textId="1F9C06F2" w:rsidR="00867994" w:rsidRPr="0021017D" w:rsidRDefault="00867994" w:rsidP="00C457CC">
            <w:pPr>
              <w:pStyle w:val="ListParagraph"/>
              <w:numPr>
                <w:ilvl w:val="0"/>
                <w:numId w:val="2"/>
              </w:numPr>
              <w:jc w:val="both"/>
              <w:rPr>
                <w:b/>
              </w:rPr>
            </w:pPr>
            <w:r>
              <w:rPr>
                <w:rStyle w:val="normaltextrun"/>
                <w:rFonts w:ascii="Calibri" w:hAnsi="Calibri" w:cs="Calibri"/>
                <w:b/>
                <w:bCs/>
              </w:rPr>
              <w:t>Literacy Rationale  </w:t>
            </w:r>
            <w:r>
              <w:rPr>
                <w:rStyle w:val="eop"/>
                <w:rFonts w:ascii="Calibri" w:hAnsi="Calibri" w:cs="Calibri"/>
              </w:rPr>
              <w:t> </w:t>
            </w:r>
          </w:p>
        </w:tc>
      </w:tr>
      <w:tr w:rsidR="00867994" w:rsidRPr="0021017D" w14:paraId="2A0A0350" w14:textId="77777777" w:rsidTr="00867994">
        <w:tc>
          <w:tcPr>
            <w:tcW w:w="9050" w:type="dxa"/>
            <w:tcBorders>
              <w:top w:val="single" w:sz="6" w:space="0" w:color="auto"/>
              <w:left w:val="single" w:sz="6" w:space="0" w:color="auto"/>
              <w:bottom w:val="single" w:sz="6" w:space="0" w:color="auto"/>
              <w:right w:val="single" w:sz="6" w:space="0" w:color="auto"/>
            </w:tcBorders>
          </w:tcPr>
          <w:p w14:paraId="3FC34529"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 xml:space="preserve">Greatness </w:t>
            </w:r>
            <w:r>
              <w:rPr>
                <w:rStyle w:val="normaltextrun"/>
                <w:rFonts w:ascii="Calibri" w:hAnsi="Calibri" w:cs="Calibri"/>
                <w:sz w:val="22"/>
                <w:szCs w:val="22"/>
              </w:rPr>
              <w:t>– Reading and Writing are the keys to a great future</w:t>
            </w:r>
            <w:r>
              <w:rPr>
                <w:rStyle w:val="eop"/>
                <w:rFonts w:ascii="Calibri" w:hAnsi="Calibri" w:cs="Calibri"/>
                <w:sz w:val="22"/>
                <w:szCs w:val="22"/>
              </w:rPr>
              <w:t> </w:t>
            </w:r>
          </w:p>
          <w:p w14:paraId="4141082B"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Resilience</w:t>
            </w:r>
            <w:r>
              <w:rPr>
                <w:rStyle w:val="normaltextrun"/>
                <w:rFonts w:ascii="Calibri" w:hAnsi="Calibri" w:cs="Calibri"/>
                <w:sz w:val="22"/>
                <w:szCs w:val="22"/>
              </w:rPr>
              <w:t xml:space="preserve"> – Working on Reading will improve confidence across the curriculum</w:t>
            </w:r>
            <w:r>
              <w:rPr>
                <w:rStyle w:val="eop"/>
                <w:rFonts w:ascii="Calibri" w:hAnsi="Calibri" w:cs="Calibri"/>
                <w:sz w:val="22"/>
                <w:szCs w:val="22"/>
              </w:rPr>
              <w:t> </w:t>
            </w:r>
          </w:p>
          <w:p w14:paraId="76E31E07"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Opportunity</w:t>
            </w:r>
            <w:r>
              <w:rPr>
                <w:rStyle w:val="normaltextrun"/>
                <w:rFonts w:ascii="Calibri" w:hAnsi="Calibri" w:cs="Calibri"/>
                <w:sz w:val="22"/>
                <w:szCs w:val="22"/>
              </w:rPr>
              <w:t xml:space="preserve"> – Giving students the chance to experience different forms of writing</w:t>
            </w:r>
            <w:r>
              <w:rPr>
                <w:rStyle w:val="eop"/>
                <w:rFonts w:ascii="Calibri" w:hAnsi="Calibri" w:cs="Calibri"/>
                <w:sz w:val="22"/>
                <w:szCs w:val="22"/>
              </w:rPr>
              <w:t> </w:t>
            </w:r>
          </w:p>
          <w:p w14:paraId="0203EC88"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Well-being</w:t>
            </w:r>
            <w:r>
              <w:rPr>
                <w:rStyle w:val="normaltextrun"/>
                <w:rFonts w:ascii="Calibri" w:hAnsi="Calibri" w:cs="Calibri"/>
                <w:sz w:val="22"/>
                <w:szCs w:val="22"/>
              </w:rPr>
              <w:t xml:space="preserve"> – reading is good for the soul.</w:t>
            </w:r>
            <w:r>
              <w:rPr>
                <w:rStyle w:val="eop"/>
                <w:rFonts w:ascii="Calibri" w:hAnsi="Calibri" w:cs="Calibri"/>
                <w:sz w:val="22"/>
                <w:szCs w:val="22"/>
              </w:rPr>
              <w:t> </w:t>
            </w:r>
          </w:p>
          <w:p w14:paraId="6B95C5CA"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3E77C71" w14:textId="108427C4" w:rsidR="00157318" w:rsidRPr="00157318" w:rsidRDefault="00157318" w:rsidP="00C457CC">
            <w:pPr>
              <w:pStyle w:val="paragraph"/>
              <w:spacing w:after="0"/>
              <w:jc w:val="both"/>
              <w:textAlignment w:val="baseline"/>
              <w:rPr>
                <w:rStyle w:val="normaltextrun"/>
                <w:rFonts w:ascii="Calibri" w:hAnsi="Calibri" w:cs="Calibri"/>
                <w:sz w:val="22"/>
                <w:szCs w:val="22"/>
              </w:rPr>
            </w:pPr>
            <w:r w:rsidRPr="00157318">
              <w:rPr>
                <w:rStyle w:val="normaltextrun"/>
                <w:rFonts w:ascii="Calibri" w:hAnsi="Calibri" w:cs="Calibri"/>
                <w:sz w:val="22"/>
                <w:szCs w:val="22"/>
              </w:rPr>
              <w:t xml:space="preserve">At Coxlease School, we believe Reading and Writing are equal partners in building a strong foundation for vocabulary, comprehension, and purpose. We understand the importance of creating a sound baseline through Phonics for all pupils to achieve and building a love for reading and writing culture that will naturally motivate our pupils in becoming confident Literacy learners. This aligns with Gatsby Benchmark 3 (Addressing the needs of each pupil) and Gatsby Benchmark 7 (Encounters with higher education) in ensuring our approach is tailored and </w:t>
            </w:r>
            <w:r w:rsidRPr="00157318">
              <w:rPr>
                <w:rStyle w:val="normaltextrun"/>
                <w:rFonts w:ascii="Calibri" w:hAnsi="Calibri" w:cs="Calibri"/>
                <w:sz w:val="22"/>
                <w:szCs w:val="22"/>
              </w:rPr>
              <w:t xml:space="preserve">aspirational </w:t>
            </w:r>
            <w:r w:rsidR="009F281D" w:rsidRPr="00157318">
              <w:rPr>
                <w:rStyle w:val="normaltextrun"/>
                <w:rFonts w:ascii="Calibri" w:hAnsi="Calibri" w:cs="Calibri"/>
                <w:sz w:val="22"/>
                <w:szCs w:val="22"/>
              </w:rPr>
              <w:t>and</w:t>
            </w:r>
            <w:r w:rsidRPr="00157318">
              <w:rPr>
                <w:rStyle w:val="normaltextrun"/>
                <w:rFonts w:ascii="Calibri" w:hAnsi="Calibri" w:cs="Calibri"/>
                <w:sz w:val="22"/>
                <w:szCs w:val="22"/>
              </w:rPr>
              <w:t xml:space="preserve"> supports the Independent School Standards for quality of education and personal development.</w:t>
            </w:r>
          </w:p>
          <w:p w14:paraId="3E6424D3" w14:textId="5C15F1F2" w:rsidR="00157318" w:rsidRPr="00157318" w:rsidRDefault="00157318" w:rsidP="00C457CC">
            <w:pPr>
              <w:pStyle w:val="paragraph"/>
              <w:spacing w:after="0"/>
              <w:jc w:val="both"/>
              <w:textAlignment w:val="baseline"/>
              <w:rPr>
                <w:rStyle w:val="normaltextrun"/>
                <w:rFonts w:ascii="Calibri" w:hAnsi="Calibri" w:cs="Calibri"/>
                <w:sz w:val="22"/>
                <w:szCs w:val="22"/>
              </w:rPr>
            </w:pPr>
            <w:r w:rsidRPr="00157318">
              <w:rPr>
                <w:rStyle w:val="normaltextrun"/>
                <w:rFonts w:ascii="Calibri" w:hAnsi="Calibri" w:cs="Calibri"/>
                <w:sz w:val="22"/>
                <w:szCs w:val="22"/>
              </w:rPr>
              <w:t xml:space="preserve">Our holistic approach aims for our pupils to see themselves as authors, creating ownership and a purpose for writing, as well as providing our students with the skills to become confident and effective readers, who read for pleasure. This supports Gatsby Benchmark 5 (Encounters with employers and employees) in fostering real-world relevance in writing and </w:t>
            </w:r>
            <w:r w:rsidRPr="00157318">
              <w:rPr>
                <w:rStyle w:val="normaltextrun"/>
                <w:rFonts w:ascii="Calibri" w:hAnsi="Calibri" w:cs="Calibri"/>
                <w:sz w:val="22"/>
                <w:szCs w:val="22"/>
              </w:rPr>
              <w:t>communication and</w:t>
            </w:r>
            <w:r w:rsidRPr="00157318">
              <w:rPr>
                <w:rStyle w:val="normaltextrun"/>
                <w:rFonts w:ascii="Calibri" w:hAnsi="Calibri" w:cs="Calibri"/>
                <w:sz w:val="22"/>
                <w:szCs w:val="22"/>
              </w:rPr>
              <w:t xml:space="preserve"> reflects the IS</w:t>
            </w:r>
            <w:r w:rsidR="009F281D">
              <w:rPr>
                <w:rStyle w:val="normaltextrun"/>
                <w:rFonts w:ascii="Calibri" w:hAnsi="Calibri" w:cs="Calibri"/>
                <w:sz w:val="22"/>
                <w:szCs w:val="22"/>
              </w:rPr>
              <w:t>S</w:t>
            </w:r>
            <w:r w:rsidRPr="00157318">
              <w:rPr>
                <w:rStyle w:val="normaltextrun"/>
                <w:rFonts w:ascii="Calibri" w:hAnsi="Calibri" w:cs="Calibri"/>
                <w:sz w:val="22"/>
                <w:szCs w:val="22"/>
              </w:rPr>
              <w:t xml:space="preserve"> Standard on high expectations for pupil achievement and progression.</w:t>
            </w:r>
          </w:p>
          <w:p w14:paraId="5B4B8F72" w14:textId="682AD7AA" w:rsidR="00157318" w:rsidRPr="00157318" w:rsidRDefault="00157318" w:rsidP="00C457CC">
            <w:pPr>
              <w:pStyle w:val="paragraph"/>
              <w:spacing w:after="0"/>
              <w:jc w:val="both"/>
              <w:textAlignment w:val="baseline"/>
              <w:rPr>
                <w:rStyle w:val="normaltextrun"/>
                <w:rFonts w:ascii="Calibri" w:hAnsi="Calibri" w:cs="Calibri"/>
                <w:sz w:val="22"/>
                <w:szCs w:val="22"/>
              </w:rPr>
            </w:pPr>
            <w:r w:rsidRPr="00157318">
              <w:rPr>
                <w:rStyle w:val="normaltextrun"/>
                <w:rFonts w:ascii="Calibri" w:hAnsi="Calibri" w:cs="Calibri"/>
                <w:sz w:val="22"/>
                <w:szCs w:val="22"/>
              </w:rPr>
              <w:t>Research has highlighted how, as adults, we may take reading for granted. It is noted as the greatest ‘invention’ ever achieved in human history and therefore has provided us with unstoppable opportunities. Through teaching a variety of key reading skills, we are equipping our students with the abilities to succeed socially, logistically, and confidentially. This aligns with IS</w:t>
            </w:r>
            <w:r w:rsidR="00BD71F7">
              <w:rPr>
                <w:rStyle w:val="normaltextrun"/>
                <w:rFonts w:ascii="Calibri" w:hAnsi="Calibri" w:cs="Calibri"/>
                <w:sz w:val="22"/>
                <w:szCs w:val="22"/>
              </w:rPr>
              <w:t>S</w:t>
            </w:r>
            <w:r w:rsidRPr="00157318">
              <w:rPr>
                <w:rStyle w:val="normaltextrun"/>
                <w:rFonts w:ascii="Calibri" w:hAnsi="Calibri" w:cs="Calibri"/>
                <w:sz w:val="22"/>
                <w:szCs w:val="22"/>
              </w:rPr>
              <w:t xml:space="preserve"> standards emphasizing the quality of education, safeguarding pupils’ academic progress, and promoting a culture of reading for lifelong learning, and with Gatsby Benchmark 4 (Linking curriculum learning with the world of work) for making learning relevant and meaningful.</w:t>
            </w:r>
          </w:p>
          <w:p w14:paraId="0E456A10" w14:textId="23382011" w:rsidR="00157318" w:rsidRPr="00157318" w:rsidRDefault="00157318" w:rsidP="00C457CC">
            <w:pPr>
              <w:pStyle w:val="paragraph"/>
              <w:spacing w:after="0"/>
              <w:jc w:val="both"/>
              <w:textAlignment w:val="baseline"/>
              <w:rPr>
                <w:rStyle w:val="normaltextrun"/>
                <w:rFonts w:ascii="Calibri" w:hAnsi="Calibri" w:cs="Calibri"/>
                <w:sz w:val="22"/>
                <w:szCs w:val="22"/>
              </w:rPr>
            </w:pPr>
            <w:r w:rsidRPr="00157318">
              <w:rPr>
                <w:rStyle w:val="normaltextrun"/>
                <w:rFonts w:ascii="Calibri" w:hAnsi="Calibri" w:cs="Calibri"/>
                <w:sz w:val="22"/>
                <w:szCs w:val="22"/>
              </w:rPr>
              <w:t>Understandably, reading lends itself to writing and vice versa. Writing is a subject that can bring creativity, individuality, ownership, and a justifiable opinion. However, at Coxlease School, writing comes with natural barriers (as does reading), due to our students’ learning gaps. We aim to provide students with a holistic, non-judgemental atmosphere where our pupils gain the confidence to own their writing and practise new skills, regardless of learning need. Research states, that writing must feel real, relevant, and meaningful to them for their writing achievements to be successful. This supports IS</w:t>
            </w:r>
            <w:r w:rsidR="00B812CA">
              <w:rPr>
                <w:rStyle w:val="normaltextrun"/>
                <w:rFonts w:ascii="Calibri" w:hAnsi="Calibri" w:cs="Calibri"/>
                <w:sz w:val="22"/>
                <w:szCs w:val="22"/>
              </w:rPr>
              <w:t>S</w:t>
            </w:r>
            <w:r w:rsidRPr="00157318">
              <w:rPr>
                <w:rStyle w:val="normaltextrun"/>
                <w:rFonts w:ascii="Calibri" w:hAnsi="Calibri" w:cs="Calibri"/>
                <w:sz w:val="22"/>
                <w:szCs w:val="22"/>
              </w:rPr>
              <w:t xml:space="preserve"> expectations around pupil well-being and inclusive practice </w:t>
            </w:r>
            <w:proofErr w:type="gramStart"/>
            <w:r w:rsidRPr="00157318">
              <w:rPr>
                <w:rStyle w:val="normaltextrun"/>
                <w:rFonts w:ascii="Calibri" w:hAnsi="Calibri" w:cs="Calibri"/>
                <w:sz w:val="22"/>
                <w:szCs w:val="22"/>
              </w:rPr>
              <w:t>and also</w:t>
            </w:r>
            <w:proofErr w:type="gramEnd"/>
            <w:r w:rsidRPr="00157318">
              <w:rPr>
                <w:rStyle w:val="normaltextrun"/>
                <w:rFonts w:ascii="Calibri" w:hAnsi="Calibri" w:cs="Calibri"/>
                <w:sz w:val="22"/>
                <w:szCs w:val="22"/>
              </w:rPr>
              <w:t xml:space="preserve"> links to Gatsby </w:t>
            </w:r>
            <w:r w:rsidRPr="00157318">
              <w:rPr>
                <w:rStyle w:val="normaltextrun"/>
                <w:rFonts w:ascii="Calibri" w:hAnsi="Calibri" w:cs="Calibri"/>
                <w:sz w:val="22"/>
                <w:szCs w:val="22"/>
              </w:rPr>
              <w:lastRenderedPageBreak/>
              <w:t>Benchmark 2 (Learning from careers) in helping students articulate their future aspirations through writing.</w:t>
            </w:r>
          </w:p>
          <w:p w14:paraId="3AAF8DA7" w14:textId="49FF1833" w:rsidR="00157318" w:rsidRPr="00157318" w:rsidRDefault="00157318" w:rsidP="00C457CC">
            <w:pPr>
              <w:pStyle w:val="paragraph"/>
              <w:spacing w:after="0"/>
              <w:jc w:val="both"/>
              <w:textAlignment w:val="baseline"/>
              <w:rPr>
                <w:rStyle w:val="normaltextrun"/>
                <w:rFonts w:ascii="Calibri" w:hAnsi="Calibri" w:cs="Calibri"/>
                <w:sz w:val="22"/>
                <w:szCs w:val="22"/>
              </w:rPr>
            </w:pPr>
            <w:r w:rsidRPr="00157318">
              <w:rPr>
                <w:rStyle w:val="normaltextrun"/>
                <w:rFonts w:ascii="Calibri" w:hAnsi="Calibri" w:cs="Calibri"/>
                <w:sz w:val="22"/>
                <w:szCs w:val="22"/>
              </w:rPr>
              <w:t>At Coxlease School, our reading and writing lessons are separated into stand-alone subjects, not because we feel they differ or need to remain explicit when teaching, but to allow coverage and opportunities for cross-curricular links. We use The Accelerated Reader program, including dedicated lessons for individual reading alongside whole class literature style lessons. We aim to provide an environment of rich vocabulary, with the understanding that language is vital in all subject areas. We also see speaking and listening as a core skill, which can be developed within reading and writing, but also used and developed across our curriculum. Our final aim is for all pupils to leave Coxlease School, with embedded confidence and an appreciation of the core subjects. This approach supports IS</w:t>
            </w:r>
            <w:r w:rsidR="00CD25EE">
              <w:rPr>
                <w:rStyle w:val="normaltextrun"/>
                <w:rFonts w:ascii="Calibri" w:hAnsi="Calibri" w:cs="Calibri"/>
                <w:sz w:val="22"/>
                <w:szCs w:val="22"/>
              </w:rPr>
              <w:t>S</w:t>
            </w:r>
            <w:r w:rsidRPr="00157318">
              <w:rPr>
                <w:rStyle w:val="normaltextrun"/>
                <w:rFonts w:ascii="Calibri" w:hAnsi="Calibri" w:cs="Calibri"/>
                <w:sz w:val="22"/>
                <w:szCs w:val="22"/>
              </w:rPr>
              <w:t xml:space="preserve"> standards on the quality of teaching and learning, and Gatsby Benchmark 6 (Experiences of working in a work-like environment) through opportunities for cross-curricular literacy across the curriculum and, where relevant, through partnerships that enrich speaking and listening skills.</w:t>
            </w:r>
          </w:p>
          <w:p w14:paraId="6A417A8D" w14:textId="7BDA208C" w:rsidR="00867994" w:rsidRDefault="00157318" w:rsidP="00C457CC">
            <w:pPr>
              <w:pStyle w:val="paragraph"/>
              <w:spacing w:before="0" w:beforeAutospacing="0" w:after="0" w:afterAutospacing="0"/>
              <w:jc w:val="both"/>
              <w:textAlignment w:val="baseline"/>
              <w:rPr>
                <w:rFonts w:ascii="Segoe UI" w:hAnsi="Segoe UI" w:cs="Segoe UI"/>
                <w:sz w:val="18"/>
                <w:szCs w:val="18"/>
              </w:rPr>
            </w:pPr>
            <w:r w:rsidRPr="00157318">
              <w:rPr>
                <w:rStyle w:val="normaltextrun"/>
                <w:rFonts w:ascii="Calibri" w:hAnsi="Calibri" w:cs="Calibri"/>
                <w:sz w:val="22"/>
                <w:szCs w:val="22"/>
              </w:rPr>
              <w:t>References: Closing the [Reading] Gap. Alex Quigley Real-World Writers. Ross Young &amp; Felicity Ferguson</w:t>
            </w:r>
            <w:r w:rsidR="00867994">
              <w:rPr>
                <w:rStyle w:val="eop"/>
                <w:rFonts w:ascii="Calibri" w:hAnsi="Calibri" w:cs="Calibri"/>
                <w:sz w:val="22"/>
                <w:szCs w:val="22"/>
              </w:rPr>
              <w:t> </w:t>
            </w:r>
          </w:p>
          <w:p w14:paraId="29F9D599" w14:textId="050AEB04"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AEFBBF3" w14:textId="70841217" w:rsidR="00867994" w:rsidRPr="0021017D" w:rsidRDefault="00867994" w:rsidP="00C457CC">
            <w:pPr>
              <w:pStyle w:val="ListParagraph"/>
              <w:ind w:left="0"/>
              <w:jc w:val="both"/>
            </w:pPr>
            <w:r>
              <w:rPr>
                <w:rStyle w:val="eop"/>
                <w:rFonts w:ascii="Calibri" w:hAnsi="Calibri" w:cs="Calibri"/>
              </w:rPr>
              <w:t> </w:t>
            </w:r>
          </w:p>
        </w:tc>
      </w:tr>
      <w:tr w:rsidR="00867994" w:rsidRPr="0021017D" w14:paraId="4579EF2F" w14:textId="77777777" w:rsidTr="00867994">
        <w:tc>
          <w:tcPr>
            <w:tcW w:w="9050" w:type="dxa"/>
            <w:tcBorders>
              <w:top w:val="single" w:sz="6" w:space="0" w:color="auto"/>
              <w:left w:val="single" w:sz="6" w:space="0" w:color="auto"/>
              <w:bottom w:val="single" w:sz="6" w:space="0" w:color="auto"/>
              <w:right w:val="single" w:sz="6" w:space="0" w:color="auto"/>
            </w:tcBorders>
          </w:tcPr>
          <w:p w14:paraId="5D2DEA14" w14:textId="260CC241" w:rsidR="00867994" w:rsidRPr="0021017D" w:rsidRDefault="00867994" w:rsidP="00C457CC">
            <w:pPr>
              <w:pStyle w:val="ListParagraph"/>
              <w:numPr>
                <w:ilvl w:val="0"/>
                <w:numId w:val="2"/>
              </w:numPr>
              <w:jc w:val="both"/>
              <w:rPr>
                <w:b/>
              </w:rPr>
            </w:pPr>
            <w:r>
              <w:rPr>
                <w:rStyle w:val="normaltextrun"/>
                <w:rFonts w:ascii="Calibri" w:hAnsi="Calibri" w:cs="Calibri"/>
                <w:b/>
                <w:bCs/>
              </w:rPr>
              <w:lastRenderedPageBreak/>
              <w:t>Phonics in Primary </w:t>
            </w:r>
            <w:r>
              <w:rPr>
                <w:rStyle w:val="eop"/>
                <w:rFonts w:ascii="Calibri" w:hAnsi="Calibri" w:cs="Calibri"/>
              </w:rPr>
              <w:t> </w:t>
            </w:r>
          </w:p>
        </w:tc>
      </w:tr>
      <w:tr w:rsidR="00867994" w:rsidRPr="0021017D" w14:paraId="33E0918B" w14:textId="77777777" w:rsidTr="00867994">
        <w:tc>
          <w:tcPr>
            <w:tcW w:w="9050" w:type="dxa"/>
            <w:tcBorders>
              <w:top w:val="single" w:sz="6" w:space="0" w:color="auto"/>
              <w:left w:val="single" w:sz="6" w:space="0" w:color="auto"/>
              <w:bottom w:val="single" w:sz="6" w:space="0" w:color="auto"/>
              <w:right w:val="single" w:sz="6" w:space="0" w:color="auto"/>
            </w:tcBorders>
          </w:tcPr>
          <w:p w14:paraId="52850949"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4C20EE8"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Implementation</w:t>
            </w:r>
            <w:r>
              <w:rPr>
                <w:rStyle w:val="eop"/>
                <w:rFonts w:ascii="Calibri" w:hAnsi="Calibri" w:cs="Calibri"/>
                <w:sz w:val="22"/>
                <w:szCs w:val="22"/>
              </w:rPr>
              <w:t> </w:t>
            </w:r>
          </w:p>
          <w:p w14:paraId="33C2CEDF"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3870CC3"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At Coxlease School, we respect that learning gaps will remain and widen if not explicitly addressed through the teaching of Phonics. </w:t>
            </w:r>
            <w:r>
              <w:rPr>
                <w:rStyle w:val="eop"/>
                <w:rFonts w:ascii="Calibri" w:hAnsi="Calibri" w:cs="Calibri"/>
                <w:sz w:val="22"/>
                <w:szCs w:val="22"/>
              </w:rPr>
              <w:t> </w:t>
            </w:r>
          </w:p>
          <w:p w14:paraId="7F01872D"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8ABD097"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teaching of Phonics is timetabled daily in primary and applies to all students who require support in developing sound, fluent skills in reading. We also believe consolidating Phonics skills for our students is essential in securing that ‘closed gap’ in future reading and writing.  </w:t>
            </w:r>
            <w:r>
              <w:rPr>
                <w:rStyle w:val="eop"/>
                <w:rFonts w:ascii="Calibri" w:hAnsi="Calibri" w:cs="Calibri"/>
                <w:sz w:val="22"/>
                <w:szCs w:val="22"/>
              </w:rPr>
              <w:t> </w:t>
            </w:r>
          </w:p>
          <w:p w14:paraId="726E2BCF"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793A741"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We respect that our students’ needs vary in basic reading fluency and therefore the teaching of Phonics is personalised, and progress is measured accordingly throughout each term, to ensure our pupils are making expected and/or rapid progress according to their learning needs. </w:t>
            </w:r>
            <w:r>
              <w:rPr>
                <w:rStyle w:val="eop"/>
                <w:rFonts w:ascii="Calibri" w:hAnsi="Calibri" w:cs="Calibri"/>
                <w:sz w:val="22"/>
                <w:szCs w:val="22"/>
              </w:rPr>
              <w:t> </w:t>
            </w:r>
          </w:p>
          <w:p w14:paraId="46841040"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3704476"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At Coxlease School, we have adopted the Read, Write, Inc. Scheme to address knowledge gaps and build our pupils into confident and fluent readers. </w:t>
            </w:r>
            <w:r>
              <w:rPr>
                <w:rStyle w:val="eop"/>
                <w:rFonts w:ascii="Calibri" w:hAnsi="Calibri" w:cs="Calibri"/>
                <w:sz w:val="22"/>
                <w:szCs w:val="22"/>
              </w:rPr>
              <w:t> </w:t>
            </w:r>
          </w:p>
          <w:p w14:paraId="14FF3B36"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E8F4004"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Using Read Write Inc. Coxlease Primary pupils:</w:t>
            </w:r>
            <w:r>
              <w:rPr>
                <w:rStyle w:val="eop"/>
                <w:rFonts w:ascii="Calibri" w:hAnsi="Calibri" w:cs="Calibri"/>
                <w:sz w:val="22"/>
                <w:szCs w:val="22"/>
              </w:rPr>
              <w:t> </w:t>
            </w:r>
          </w:p>
          <w:p w14:paraId="7897922C"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9CF8F14" w14:textId="77777777" w:rsidR="00867994" w:rsidRDefault="00867994" w:rsidP="00C457CC">
            <w:pPr>
              <w:pStyle w:val="paragraph"/>
              <w:numPr>
                <w:ilvl w:val="0"/>
                <w:numId w:val="15"/>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Decode letter-sound correspondences quickly and effortlessly, using their phonics knowledge and skills</w:t>
            </w:r>
            <w:r>
              <w:rPr>
                <w:rStyle w:val="eop"/>
                <w:rFonts w:ascii="Calibri" w:hAnsi="Calibri" w:cs="Calibri"/>
                <w:sz w:val="22"/>
                <w:szCs w:val="22"/>
              </w:rPr>
              <w:t> </w:t>
            </w:r>
          </w:p>
          <w:p w14:paraId="5AB0DE16" w14:textId="77777777" w:rsidR="00867994" w:rsidRDefault="00867994" w:rsidP="00C457CC">
            <w:pPr>
              <w:pStyle w:val="paragraph"/>
              <w:numPr>
                <w:ilvl w:val="0"/>
                <w:numId w:val="1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Read common exception words on sight</w:t>
            </w:r>
            <w:r>
              <w:rPr>
                <w:rStyle w:val="eop"/>
                <w:rFonts w:ascii="Calibri" w:hAnsi="Calibri" w:cs="Calibri"/>
                <w:sz w:val="22"/>
                <w:szCs w:val="22"/>
              </w:rPr>
              <w:t> </w:t>
            </w:r>
          </w:p>
          <w:p w14:paraId="4E44DA71" w14:textId="77777777" w:rsidR="00867994" w:rsidRDefault="00867994" w:rsidP="00C457CC">
            <w:pPr>
              <w:pStyle w:val="paragraph"/>
              <w:numPr>
                <w:ilvl w:val="0"/>
                <w:numId w:val="1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Understand what they read</w:t>
            </w:r>
            <w:r>
              <w:rPr>
                <w:rStyle w:val="eop"/>
                <w:rFonts w:ascii="Calibri" w:hAnsi="Calibri" w:cs="Calibri"/>
                <w:sz w:val="22"/>
                <w:szCs w:val="22"/>
              </w:rPr>
              <w:t> </w:t>
            </w:r>
          </w:p>
          <w:p w14:paraId="427D02D5" w14:textId="77777777" w:rsidR="00867994" w:rsidRDefault="00867994" w:rsidP="00C457CC">
            <w:pPr>
              <w:pStyle w:val="paragraph"/>
              <w:numPr>
                <w:ilvl w:val="0"/>
                <w:numId w:val="1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Read aloud with fluency and expression</w:t>
            </w:r>
            <w:r>
              <w:rPr>
                <w:rStyle w:val="eop"/>
                <w:rFonts w:ascii="Calibri" w:hAnsi="Calibri" w:cs="Calibri"/>
                <w:sz w:val="22"/>
                <w:szCs w:val="22"/>
              </w:rPr>
              <w:t> </w:t>
            </w:r>
          </w:p>
          <w:p w14:paraId="50E280CA" w14:textId="77777777" w:rsidR="00867994" w:rsidRDefault="00867994" w:rsidP="00C457CC">
            <w:pPr>
              <w:pStyle w:val="paragraph"/>
              <w:numPr>
                <w:ilvl w:val="0"/>
                <w:numId w:val="1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Write confidently, with a strong focus on vocabulary and grammar</w:t>
            </w:r>
            <w:r>
              <w:rPr>
                <w:rStyle w:val="eop"/>
                <w:rFonts w:ascii="Calibri" w:hAnsi="Calibri" w:cs="Calibri"/>
                <w:sz w:val="22"/>
                <w:szCs w:val="22"/>
              </w:rPr>
              <w:t> </w:t>
            </w:r>
          </w:p>
          <w:p w14:paraId="1C73B64D" w14:textId="77777777" w:rsidR="00867994" w:rsidRDefault="00867994" w:rsidP="00C457CC">
            <w:pPr>
              <w:pStyle w:val="paragraph"/>
              <w:numPr>
                <w:ilvl w:val="0"/>
                <w:numId w:val="20"/>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Spell quickly and easily by segmenting the sounds in words</w:t>
            </w:r>
            <w:r>
              <w:rPr>
                <w:rStyle w:val="eop"/>
                <w:rFonts w:ascii="Calibri" w:hAnsi="Calibri" w:cs="Calibri"/>
                <w:sz w:val="22"/>
                <w:szCs w:val="22"/>
              </w:rPr>
              <w:t> </w:t>
            </w:r>
          </w:p>
          <w:p w14:paraId="1E25778D" w14:textId="77777777" w:rsidR="00867994" w:rsidRDefault="00867994" w:rsidP="00C457CC">
            <w:pPr>
              <w:pStyle w:val="paragraph"/>
              <w:numPr>
                <w:ilvl w:val="0"/>
                <w:numId w:val="2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Acquire good handwriting.</w:t>
            </w:r>
            <w:r>
              <w:rPr>
                <w:rStyle w:val="eop"/>
                <w:rFonts w:ascii="Calibri" w:hAnsi="Calibri" w:cs="Calibri"/>
                <w:sz w:val="22"/>
                <w:szCs w:val="22"/>
              </w:rPr>
              <w:t> </w:t>
            </w:r>
          </w:p>
          <w:p w14:paraId="1E680BF4"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89F5E2B"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Assessment &amp; Tracking </w:t>
            </w:r>
            <w:r>
              <w:rPr>
                <w:rStyle w:val="eop"/>
                <w:rFonts w:ascii="Calibri" w:hAnsi="Calibri" w:cs="Calibri"/>
                <w:sz w:val="22"/>
                <w:szCs w:val="22"/>
              </w:rPr>
              <w:t> </w:t>
            </w:r>
          </w:p>
          <w:p w14:paraId="34EC58E2"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A1AB7F5"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lastRenderedPageBreak/>
              <w:t>Using the Read, Write Inc. supported materials, our pupils are Phonics ‘screened’ by class teachers, so pupils can start their Phonics learning journey at the appropriate stage. Pupils are assessed termly, as a minimum requirement, to ensure they are making appropriate progress for their learning need. </w:t>
            </w:r>
            <w:r>
              <w:rPr>
                <w:rStyle w:val="eop"/>
                <w:rFonts w:ascii="Calibri" w:hAnsi="Calibri" w:cs="Calibri"/>
                <w:sz w:val="22"/>
                <w:szCs w:val="22"/>
              </w:rPr>
              <w:t> </w:t>
            </w:r>
          </w:p>
          <w:p w14:paraId="1E101463"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Teachers have access to class or individual pupil trackers, which allows them to monitor our students’ achievements throughout the academic year.</w:t>
            </w:r>
            <w:r>
              <w:rPr>
                <w:rStyle w:val="eop"/>
                <w:rFonts w:ascii="Calibri" w:hAnsi="Calibri" w:cs="Calibri"/>
                <w:sz w:val="22"/>
                <w:szCs w:val="22"/>
              </w:rPr>
              <w:t> </w:t>
            </w:r>
          </w:p>
          <w:p w14:paraId="69EAE065"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2AF7900"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Further Support</w:t>
            </w:r>
            <w:r>
              <w:rPr>
                <w:rStyle w:val="eop"/>
                <w:rFonts w:ascii="Calibri" w:hAnsi="Calibri" w:cs="Calibri"/>
                <w:sz w:val="22"/>
                <w:szCs w:val="22"/>
              </w:rPr>
              <w:t> </w:t>
            </w:r>
          </w:p>
          <w:p w14:paraId="50C1EDEF"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AD1CA42" w14:textId="32AA8711" w:rsidR="00867994" w:rsidRDefault="00C457CC"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w:t>
            </w:r>
            <w:r w:rsidR="00867994">
              <w:rPr>
                <w:rStyle w:val="normaltextrun"/>
                <w:rFonts w:ascii="Calibri" w:hAnsi="Calibri" w:cs="Calibri"/>
                <w:sz w:val="22"/>
                <w:szCs w:val="22"/>
              </w:rPr>
              <w:t>taff at Coxlease School have completed the face-to-face training to successfully deliver the teaching of Phonics. To continue development and maintain our understanding of the Read, Write, Inc. programme, staff have continuous online access to refreshers, resources, as well as further development opportunities. We have lead staff in Phonics that are on-hand when further support is required. </w:t>
            </w:r>
            <w:r w:rsidR="00867994">
              <w:rPr>
                <w:rStyle w:val="eop"/>
                <w:rFonts w:ascii="Calibri" w:hAnsi="Calibri" w:cs="Calibri"/>
                <w:sz w:val="22"/>
                <w:szCs w:val="22"/>
              </w:rPr>
              <w:t> </w:t>
            </w:r>
          </w:p>
          <w:p w14:paraId="1D49170D"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CD87AF6" w14:textId="6C3D3E9E" w:rsidR="00867994" w:rsidRDefault="00867994" w:rsidP="00C457CC">
            <w:pPr>
              <w:pStyle w:val="paragraph"/>
              <w:spacing w:before="0" w:beforeAutospacing="0" w:after="0" w:afterAutospacing="0"/>
              <w:jc w:val="both"/>
              <w:textAlignment w:val="baseline"/>
              <w:rPr>
                <w:rFonts w:ascii="Segoe UI" w:hAnsi="Segoe UI" w:cs="Segoe UI"/>
                <w:sz w:val="18"/>
                <w:szCs w:val="18"/>
              </w:rPr>
            </w:pPr>
          </w:p>
          <w:p w14:paraId="4B205EC5" w14:textId="67F1F127" w:rsidR="00867994" w:rsidRPr="0021017D" w:rsidRDefault="00867994" w:rsidP="00C457CC">
            <w:pPr>
              <w:pStyle w:val="ListParagraph"/>
              <w:ind w:left="0"/>
              <w:jc w:val="both"/>
            </w:pPr>
            <w:r>
              <w:rPr>
                <w:rStyle w:val="eop"/>
                <w:rFonts w:ascii="Calibri" w:hAnsi="Calibri" w:cs="Calibri"/>
              </w:rPr>
              <w:t> </w:t>
            </w:r>
          </w:p>
        </w:tc>
      </w:tr>
      <w:tr w:rsidR="00867994" w:rsidRPr="0021017D" w14:paraId="2CC215D2" w14:textId="77777777" w:rsidTr="00867994">
        <w:tc>
          <w:tcPr>
            <w:tcW w:w="9050" w:type="dxa"/>
            <w:tcBorders>
              <w:top w:val="single" w:sz="6" w:space="0" w:color="auto"/>
              <w:left w:val="single" w:sz="6" w:space="0" w:color="auto"/>
              <w:bottom w:val="single" w:sz="6" w:space="0" w:color="auto"/>
              <w:right w:val="single" w:sz="6" w:space="0" w:color="auto"/>
            </w:tcBorders>
          </w:tcPr>
          <w:p w14:paraId="493C6381" w14:textId="44EA2196" w:rsidR="00867994" w:rsidRPr="0021017D" w:rsidRDefault="00867994" w:rsidP="00C457CC">
            <w:pPr>
              <w:pStyle w:val="ListParagraph"/>
              <w:numPr>
                <w:ilvl w:val="0"/>
                <w:numId w:val="2"/>
              </w:numPr>
              <w:jc w:val="both"/>
              <w:rPr>
                <w:b/>
              </w:rPr>
            </w:pPr>
            <w:r>
              <w:rPr>
                <w:rStyle w:val="normaltextrun"/>
                <w:rFonts w:ascii="Calibri" w:hAnsi="Calibri" w:cs="Calibri"/>
                <w:b/>
                <w:bCs/>
              </w:rPr>
              <w:lastRenderedPageBreak/>
              <w:t xml:space="preserve">Phonics in KS3, KS4 &amp; </w:t>
            </w:r>
            <w:proofErr w:type="gramStart"/>
            <w:r>
              <w:rPr>
                <w:rStyle w:val="normaltextrun"/>
                <w:rFonts w:ascii="Calibri" w:hAnsi="Calibri" w:cs="Calibri"/>
                <w:b/>
                <w:bCs/>
              </w:rPr>
              <w:t>Post-16</w:t>
            </w:r>
            <w:proofErr w:type="gramEnd"/>
            <w:r>
              <w:rPr>
                <w:rStyle w:val="normaltextrun"/>
                <w:rFonts w:ascii="Calibri" w:hAnsi="Calibri" w:cs="Calibri"/>
                <w:b/>
                <w:bCs/>
              </w:rPr>
              <w:t> </w:t>
            </w:r>
            <w:r>
              <w:rPr>
                <w:rStyle w:val="eop"/>
                <w:rFonts w:ascii="Calibri" w:hAnsi="Calibri" w:cs="Calibri"/>
              </w:rPr>
              <w:t> </w:t>
            </w:r>
          </w:p>
        </w:tc>
      </w:tr>
      <w:tr w:rsidR="00867994" w:rsidRPr="0021017D" w14:paraId="2B962D21" w14:textId="77777777" w:rsidTr="00867994">
        <w:tc>
          <w:tcPr>
            <w:tcW w:w="9050" w:type="dxa"/>
            <w:tcBorders>
              <w:top w:val="single" w:sz="6" w:space="0" w:color="auto"/>
              <w:left w:val="single" w:sz="6" w:space="0" w:color="auto"/>
              <w:bottom w:val="single" w:sz="6" w:space="0" w:color="auto"/>
              <w:right w:val="single" w:sz="6" w:space="0" w:color="auto"/>
            </w:tcBorders>
          </w:tcPr>
          <w:p w14:paraId="6517408C"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8141885"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Implementation</w:t>
            </w:r>
            <w:r>
              <w:rPr>
                <w:rStyle w:val="eop"/>
                <w:rFonts w:ascii="Calibri" w:hAnsi="Calibri" w:cs="Calibri"/>
                <w:sz w:val="22"/>
                <w:szCs w:val="22"/>
              </w:rPr>
              <w:t> </w:t>
            </w:r>
          </w:p>
          <w:p w14:paraId="45FD821B"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9750CD8"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A7A7571"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We feel our KS3, KS4 and </w:t>
            </w:r>
            <w:proofErr w:type="gramStart"/>
            <w:r>
              <w:rPr>
                <w:rStyle w:val="normaltextrun"/>
                <w:rFonts w:ascii="Calibri" w:hAnsi="Calibri" w:cs="Calibri"/>
                <w:sz w:val="22"/>
                <w:szCs w:val="22"/>
              </w:rPr>
              <w:t>Post-16</w:t>
            </w:r>
            <w:proofErr w:type="gramEnd"/>
            <w:r>
              <w:rPr>
                <w:rStyle w:val="normaltextrun"/>
                <w:rFonts w:ascii="Calibri" w:hAnsi="Calibri" w:cs="Calibri"/>
                <w:sz w:val="22"/>
                <w:szCs w:val="22"/>
              </w:rPr>
              <w:t xml:space="preserve"> students’ benefit greatly from one-to-one timetabled reading sessions with our TAs and teachers where needed. This allows each student to work to their learning needs completing the necessary modules to become fluent and confident readers, whilst receiving continuous support in a nurturing environment. </w:t>
            </w:r>
            <w:r>
              <w:rPr>
                <w:rStyle w:val="eop"/>
                <w:rFonts w:ascii="Calibri" w:hAnsi="Calibri" w:cs="Calibri"/>
                <w:sz w:val="22"/>
                <w:szCs w:val="22"/>
              </w:rPr>
              <w:t> </w:t>
            </w:r>
          </w:p>
          <w:p w14:paraId="16F821A8"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82FE6F3"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3165A62" w14:textId="70BBC59A" w:rsidR="00867994" w:rsidRPr="0021017D" w:rsidRDefault="00867994" w:rsidP="00C457CC">
            <w:pPr>
              <w:pStyle w:val="ListParagraph"/>
              <w:ind w:left="0"/>
              <w:jc w:val="both"/>
            </w:pPr>
            <w:r>
              <w:rPr>
                <w:rStyle w:val="eop"/>
                <w:rFonts w:ascii="Calibri" w:hAnsi="Calibri" w:cs="Calibri"/>
              </w:rPr>
              <w:t> </w:t>
            </w:r>
          </w:p>
        </w:tc>
      </w:tr>
      <w:tr w:rsidR="00867994" w:rsidRPr="0021017D" w14:paraId="4071A47B" w14:textId="77777777" w:rsidTr="00867994">
        <w:tc>
          <w:tcPr>
            <w:tcW w:w="9050" w:type="dxa"/>
            <w:tcBorders>
              <w:top w:val="single" w:sz="6" w:space="0" w:color="auto"/>
              <w:left w:val="single" w:sz="6" w:space="0" w:color="auto"/>
              <w:bottom w:val="single" w:sz="6" w:space="0" w:color="auto"/>
              <w:right w:val="single" w:sz="6" w:space="0" w:color="auto"/>
            </w:tcBorders>
          </w:tcPr>
          <w:p w14:paraId="3B4E286D" w14:textId="6DDF98C3" w:rsidR="00867994" w:rsidRPr="0021017D" w:rsidRDefault="00867994" w:rsidP="00C457CC">
            <w:pPr>
              <w:pStyle w:val="ListParagraph"/>
              <w:numPr>
                <w:ilvl w:val="0"/>
                <w:numId w:val="2"/>
              </w:numPr>
              <w:jc w:val="both"/>
              <w:rPr>
                <w:b/>
              </w:rPr>
            </w:pPr>
            <w:r>
              <w:rPr>
                <w:rStyle w:val="normaltextrun"/>
                <w:rFonts w:ascii="Calibri" w:hAnsi="Calibri" w:cs="Calibri"/>
                <w:b/>
                <w:bCs/>
              </w:rPr>
              <w:t>Reading in KS2 &amp; KS3</w:t>
            </w:r>
            <w:r>
              <w:rPr>
                <w:rStyle w:val="eop"/>
                <w:rFonts w:ascii="Calibri" w:hAnsi="Calibri" w:cs="Calibri"/>
              </w:rPr>
              <w:t> </w:t>
            </w:r>
          </w:p>
        </w:tc>
      </w:tr>
      <w:tr w:rsidR="00867994" w:rsidRPr="0021017D" w14:paraId="1E9A0D7D" w14:textId="77777777" w:rsidTr="00867994">
        <w:tc>
          <w:tcPr>
            <w:tcW w:w="9050" w:type="dxa"/>
            <w:tcBorders>
              <w:top w:val="single" w:sz="6" w:space="0" w:color="auto"/>
              <w:left w:val="single" w:sz="6" w:space="0" w:color="auto"/>
              <w:bottom w:val="single" w:sz="6" w:space="0" w:color="auto"/>
              <w:right w:val="single" w:sz="6" w:space="0" w:color="auto"/>
            </w:tcBorders>
          </w:tcPr>
          <w:p w14:paraId="35F45445"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951B667"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Implementation </w:t>
            </w:r>
            <w:r>
              <w:rPr>
                <w:rStyle w:val="eop"/>
                <w:rFonts w:ascii="Calibri" w:hAnsi="Calibri" w:cs="Calibri"/>
                <w:sz w:val="22"/>
                <w:szCs w:val="22"/>
              </w:rPr>
              <w:t> </w:t>
            </w:r>
          </w:p>
          <w:p w14:paraId="4ECF775E"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82324FF"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To complement our writing ethos, our students are exposed to a variety of quality texts as well as pupil-suggested reading materials and class novels. We feel at Coxlease School that exposure to different genres allows pupils to respect and understand the purpose of texts and build on reading skills, which can be applied diversely across text presentation and subject content. </w:t>
            </w:r>
            <w:r>
              <w:rPr>
                <w:rStyle w:val="eop"/>
                <w:rFonts w:ascii="Calibri" w:hAnsi="Calibri" w:cs="Calibri"/>
                <w:sz w:val="22"/>
                <w:szCs w:val="22"/>
              </w:rPr>
              <w:t> </w:t>
            </w:r>
          </w:p>
          <w:p w14:paraId="474F07EE"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DEFFF44"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Our model of delivery consistently addresses the following key skills:</w:t>
            </w:r>
            <w:r>
              <w:rPr>
                <w:rStyle w:val="eop"/>
                <w:rFonts w:ascii="Calibri" w:hAnsi="Calibri" w:cs="Calibri"/>
                <w:sz w:val="22"/>
                <w:szCs w:val="22"/>
              </w:rPr>
              <w:t> </w:t>
            </w:r>
          </w:p>
          <w:p w14:paraId="3B20AA52"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F32E4BA" w14:textId="77777777" w:rsidR="00867994" w:rsidRDefault="00867994" w:rsidP="00C457CC">
            <w:pPr>
              <w:pStyle w:val="paragraph"/>
              <w:numPr>
                <w:ilvl w:val="0"/>
                <w:numId w:val="2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color w:val="0070C0"/>
                <w:sz w:val="22"/>
                <w:szCs w:val="22"/>
              </w:rPr>
              <w:t>V</w:t>
            </w:r>
            <w:r>
              <w:rPr>
                <w:rStyle w:val="normaltextrun"/>
                <w:rFonts w:ascii="Calibri" w:hAnsi="Calibri" w:cs="Calibri"/>
                <w:sz w:val="22"/>
                <w:szCs w:val="22"/>
              </w:rPr>
              <w:t>ocabulary </w:t>
            </w:r>
            <w:r>
              <w:rPr>
                <w:rStyle w:val="eop"/>
                <w:rFonts w:ascii="Calibri" w:hAnsi="Calibri" w:cs="Calibri"/>
                <w:sz w:val="22"/>
                <w:szCs w:val="22"/>
              </w:rPr>
              <w:t> </w:t>
            </w:r>
          </w:p>
          <w:p w14:paraId="0E7DA4B7" w14:textId="77777777" w:rsidR="00867994" w:rsidRDefault="00867994" w:rsidP="00C457CC">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color w:val="0070C0"/>
                <w:sz w:val="22"/>
                <w:szCs w:val="22"/>
              </w:rPr>
              <w:t>I</w:t>
            </w:r>
            <w:r>
              <w:rPr>
                <w:rStyle w:val="normaltextrun"/>
                <w:rFonts w:ascii="Calibri" w:hAnsi="Calibri" w:cs="Calibri"/>
                <w:sz w:val="22"/>
                <w:szCs w:val="22"/>
              </w:rPr>
              <w:t>nfer</w:t>
            </w:r>
            <w:r>
              <w:rPr>
                <w:rStyle w:val="eop"/>
                <w:rFonts w:ascii="Calibri" w:hAnsi="Calibri" w:cs="Calibri"/>
                <w:sz w:val="22"/>
                <w:szCs w:val="22"/>
              </w:rPr>
              <w:t> </w:t>
            </w:r>
          </w:p>
          <w:p w14:paraId="0524BEC0" w14:textId="77777777" w:rsidR="00867994" w:rsidRDefault="00867994" w:rsidP="00C457CC">
            <w:pPr>
              <w:pStyle w:val="paragraph"/>
              <w:numPr>
                <w:ilvl w:val="0"/>
                <w:numId w:val="24"/>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color w:val="0070C0"/>
                <w:sz w:val="22"/>
                <w:szCs w:val="22"/>
              </w:rPr>
              <w:t>P</w:t>
            </w:r>
            <w:r>
              <w:rPr>
                <w:rStyle w:val="normaltextrun"/>
                <w:rFonts w:ascii="Calibri" w:hAnsi="Calibri" w:cs="Calibri"/>
                <w:sz w:val="22"/>
                <w:szCs w:val="22"/>
              </w:rPr>
              <w:t>redict</w:t>
            </w:r>
            <w:r>
              <w:rPr>
                <w:rStyle w:val="eop"/>
                <w:rFonts w:ascii="Calibri" w:hAnsi="Calibri" w:cs="Calibri"/>
                <w:sz w:val="22"/>
                <w:szCs w:val="22"/>
              </w:rPr>
              <w:t> </w:t>
            </w:r>
          </w:p>
          <w:p w14:paraId="6DB67D0D" w14:textId="77777777" w:rsidR="00867994" w:rsidRDefault="00867994" w:rsidP="00C457CC">
            <w:pPr>
              <w:pStyle w:val="paragraph"/>
              <w:numPr>
                <w:ilvl w:val="0"/>
                <w:numId w:val="25"/>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color w:val="0070C0"/>
                <w:sz w:val="22"/>
                <w:szCs w:val="22"/>
              </w:rPr>
              <w:t>E</w:t>
            </w:r>
            <w:r>
              <w:rPr>
                <w:rStyle w:val="normaltextrun"/>
                <w:rFonts w:ascii="Calibri" w:hAnsi="Calibri" w:cs="Calibri"/>
                <w:sz w:val="22"/>
                <w:szCs w:val="22"/>
              </w:rPr>
              <w:t>xplain</w:t>
            </w:r>
            <w:r>
              <w:rPr>
                <w:rStyle w:val="eop"/>
                <w:rFonts w:ascii="Calibri" w:hAnsi="Calibri" w:cs="Calibri"/>
                <w:sz w:val="22"/>
                <w:szCs w:val="22"/>
              </w:rPr>
              <w:t> </w:t>
            </w:r>
          </w:p>
          <w:p w14:paraId="0CE8497F" w14:textId="77777777" w:rsidR="00867994" w:rsidRDefault="00867994" w:rsidP="00C457CC">
            <w:pPr>
              <w:pStyle w:val="paragraph"/>
              <w:numPr>
                <w:ilvl w:val="0"/>
                <w:numId w:val="2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color w:val="0070C0"/>
                <w:sz w:val="22"/>
                <w:szCs w:val="22"/>
              </w:rPr>
              <w:t>R</w:t>
            </w:r>
            <w:r>
              <w:rPr>
                <w:rStyle w:val="normaltextrun"/>
                <w:rFonts w:ascii="Calibri" w:hAnsi="Calibri" w:cs="Calibri"/>
                <w:sz w:val="22"/>
                <w:szCs w:val="22"/>
              </w:rPr>
              <w:t>etrieve </w:t>
            </w:r>
            <w:r>
              <w:rPr>
                <w:rStyle w:val="eop"/>
                <w:rFonts w:ascii="Calibri" w:hAnsi="Calibri" w:cs="Calibri"/>
                <w:sz w:val="22"/>
                <w:szCs w:val="22"/>
              </w:rPr>
              <w:t> </w:t>
            </w:r>
          </w:p>
          <w:p w14:paraId="465844A9" w14:textId="77777777" w:rsidR="00867994" w:rsidRDefault="00867994" w:rsidP="00C457CC">
            <w:pPr>
              <w:pStyle w:val="paragraph"/>
              <w:numPr>
                <w:ilvl w:val="0"/>
                <w:numId w:val="2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color w:val="0070C0"/>
                <w:sz w:val="22"/>
                <w:szCs w:val="22"/>
              </w:rPr>
              <w:t>S</w:t>
            </w:r>
            <w:r>
              <w:rPr>
                <w:rStyle w:val="normaltextrun"/>
                <w:rFonts w:ascii="Calibri" w:hAnsi="Calibri" w:cs="Calibri"/>
                <w:sz w:val="22"/>
                <w:szCs w:val="22"/>
              </w:rPr>
              <w:t>equence &amp; Summarise </w:t>
            </w:r>
            <w:r>
              <w:rPr>
                <w:rStyle w:val="eop"/>
                <w:rFonts w:ascii="Calibri" w:hAnsi="Calibri" w:cs="Calibri"/>
                <w:sz w:val="22"/>
                <w:szCs w:val="22"/>
              </w:rPr>
              <w:t> </w:t>
            </w:r>
          </w:p>
          <w:p w14:paraId="434ED1B9" w14:textId="77777777" w:rsidR="00867994" w:rsidRDefault="00867994" w:rsidP="00C457CC">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14:paraId="41D0873D"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7E1119D"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Using </w:t>
            </w:r>
            <w:r>
              <w:rPr>
                <w:rStyle w:val="normaltextrun"/>
                <w:rFonts w:ascii="Calibri" w:hAnsi="Calibri" w:cs="Calibri"/>
                <w:color w:val="0070C0"/>
                <w:sz w:val="22"/>
                <w:szCs w:val="22"/>
              </w:rPr>
              <w:t>VIPERS</w:t>
            </w:r>
            <w:r>
              <w:rPr>
                <w:rStyle w:val="normaltextrun"/>
                <w:rFonts w:ascii="Calibri" w:hAnsi="Calibri" w:cs="Calibri"/>
                <w:sz w:val="22"/>
                <w:szCs w:val="22"/>
              </w:rPr>
              <w:t xml:space="preserve">, our students are exposed to essential skills that will contribute to a sound understanding and application for successful reading. We believe this chosen delivery model can be applied cross-curricular and support our students’ Literacy journey within each subject. We aim to </w:t>
            </w:r>
            <w:r>
              <w:rPr>
                <w:rStyle w:val="normaltextrun"/>
                <w:rFonts w:ascii="Calibri" w:hAnsi="Calibri" w:cs="Calibri"/>
                <w:sz w:val="22"/>
                <w:szCs w:val="22"/>
              </w:rPr>
              <w:lastRenderedPageBreak/>
              <w:t>provide an ‘aim high and scaffold down’ ethos within our differentiation and achievement expectations. Our planning allows for pupils to experience the same key skill to support with retrieval learning, however presented in different ways. This is to build pupils’ resilience and deepening their understanding of the key reading skills. </w:t>
            </w:r>
            <w:r>
              <w:rPr>
                <w:rStyle w:val="eop"/>
                <w:rFonts w:ascii="Calibri" w:hAnsi="Calibri" w:cs="Calibri"/>
                <w:sz w:val="22"/>
                <w:szCs w:val="22"/>
              </w:rPr>
              <w:t> </w:t>
            </w:r>
          </w:p>
          <w:p w14:paraId="106DA7CD"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9CB2F60"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Reading is delivered as a 45-minute stand-alone lesson, 4x weekly. However, reading at Coxlease is not restricted to discrete teaching and is encouraged throughout all lessons, including problem solving within a mathematical content. </w:t>
            </w:r>
            <w:r>
              <w:rPr>
                <w:rStyle w:val="eop"/>
                <w:rFonts w:ascii="Calibri" w:hAnsi="Calibri" w:cs="Calibri"/>
                <w:sz w:val="22"/>
                <w:szCs w:val="22"/>
              </w:rPr>
              <w:t> </w:t>
            </w:r>
          </w:p>
          <w:p w14:paraId="62E54FCA"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232D107"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289A873"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Assessment &amp; Tracking </w:t>
            </w:r>
            <w:r>
              <w:rPr>
                <w:rStyle w:val="eop"/>
                <w:rFonts w:ascii="Calibri" w:hAnsi="Calibri" w:cs="Calibri"/>
                <w:sz w:val="22"/>
                <w:szCs w:val="22"/>
              </w:rPr>
              <w:t> </w:t>
            </w:r>
          </w:p>
          <w:p w14:paraId="36101261"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19DDB79"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To Assess our students’ reading achievements, they are required to complete a Rising Stars reading assessment each term. Teachers use their judgements as to which age-appropriate test suits each individual and record all results using the Rising Stars tracking tool. From this, teachers can identify areas for development for a group of pupils or on an individual basis. These results support and dictate future reading skill lessons that may need revisiting more so than others. </w:t>
            </w:r>
            <w:r>
              <w:rPr>
                <w:rStyle w:val="eop"/>
                <w:rFonts w:ascii="Calibri" w:hAnsi="Calibri" w:cs="Calibri"/>
                <w:sz w:val="22"/>
                <w:szCs w:val="22"/>
              </w:rPr>
              <w:t> </w:t>
            </w:r>
          </w:p>
          <w:p w14:paraId="74849D78" w14:textId="3FF96854" w:rsidR="00867994" w:rsidRPr="0021017D" w:rsidRDefault="00867994" w:rsidP="00C457CC">
            <w:pPr>
              <w:pStyle w:val="ListParagraph"/>
              <w:ind w:left="0"/>
              <w:jc w:val="both"/>
            </w:pPr>
            <w:r>
              <w:rPr>
                <w:rStyle w:val="eop"/>
                <w:rFonts w:ascii="Calibri" w:hAnsi="Calibri" w:cs="Calibri"/>
              </w:rPr>
              <w:t> </w:t>
            </w:r>
          </w:p>
        </w:tc>
      </w:tr>
      <w:tr w:rsidR="00867994" w:rsidRPr="0021017D" w14:paraId="1A6BC83C" w14:textId="77777777" w:rsidTr="00867994">
        <w:tc>
          <w:tcPr>
            <w:tcW w:w="9050" w:type="dxa"/>
            <w:tcBorders>
              <w:top w:val="single" w:sz="6" w:space="0" w:color="auto"/>
              <w:left w:val="single" w:sz="6" w:space="0" w:color="auto"/>
              <w:bottom w:val="single" w:sz="6" w:space="0" w:color="auto"/>
              <w:right w:val="single" w:sz="6" w:space="0" w:color="auto"/>
            </w:tcBorders>
          </w:tcPr>
          <w:p w14:paraId="170448DB" w14:textId="2FE8DD58" w:rsidR="00867994" w:rsidRPr="0021017D" w:rsidRDefault="00867994" w:rsidP="00C457CC">
            <w:pPr>
              <w:pStyle w:val="ListParagraph"/>
              <w:numPr>
                <w:ilvl w:val="0"/>
                <w:numId w:val="2"/>
              </w:numPr>
              <w:jc w:val="both"/>
              <w:rPr>
                <w:b/>
              </w:rPr>
            </w:pPr>
            <w:r>
              <w:rPr>
                <w:rStyle w:val="normaltextrun"/>
                <w:rFonts w:ascii="Calibri" w:hAnsi="Calibri" w:cs="Calibri"/>
                <w:b/>
                <w:bCs/>
              </w:rPr>
              <w:lastRenderedPageBreak/>
              <w:t>Writing in KS2 (Primary) &amp; KS3  </w:t>
            </w:r>
            <w:r>
              <w:rPr>
                <w:rStyle w:val="eop"/>
                <w:rFonts w:ascii="Calibri" w:hAnsi="Calibri" w:cs="Calibri"/>
              </w:rPr>
              <w:t> </w:t>
            </w:r>
          </w:p>
        </w:tc>
      </w:tr>
      <w:tr w:rsidR="00867994" w:rsidRPr="0021017D" w14:paraId="31175E62" w14:textId="77777777" w:rsidTr="00867994">
        <w:tc>
          <w:tcPr>
            <w:tcW w:w="9050" w:type="dxa"/>
            <w:tcBorders>
              <w:top w:val="single" w:sz="6" w:space="0" w:color="auto"/>
              <w:left w:val="single" w:sz="6" w:space="0" w:color="auto"/>
              <w:bottom w:val="single" w:sz="6" w:space="0" w:color="auto"/>
              <w:right w:val="single" w:sz="6" w:space="0" w:color="auto"/>
            </w:tcBorders>
          </w:tcPr>
          <w:p w14:paraId="3863B582"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eop"/>
                <w:rFonts w:ascii="Calibri" w:hAnsi="Calibri" w:cs="Calibri"/>
                <w:sz w:val="22"/>
                <w:szCs w:val="22"/>
              </w:rPr>
              <w:t> </w:t>
            </w:r>
          </w:p>
          <w:p w14:paraId="64370AE6"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normaltextrun"/>
                <w:rFonts w:ascii="Calibri" w:hAnsi="Calibri" w:cs="Calibri"/>
                <w:b/>
                <w:bCs/>
                <w:sz w:val="22"/>
                <w:szCs w:val="22"/>
                <w:u w:val="single"/>
              </w:rPr>
              <w:t>Implementation </w:t>
            </w:r>
            <w:r>
              <w:rPr>
                <w:rStyle w:val="eop"/>
                <w:rFonts w:ascii="Calibri" w:hAnsi="Calibri" w:cs="Calibri"/>
                <w:sz w:val="22"/>
                <w:szCs w:val="22"/>
              </w:rPr>
              <w:t> </w:t>
            </w:r>
          </w:p>
          <w:p w14:paraId="2EAA0F1E"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D12CB83"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At Coxlease School, we promote a ‘love for writing’ culture. We feel that our students need a holistic, nurturing approach to alleviate any previous writing stigma. We deliver this through our ‘Real-World Writers’ model, which promotes ownership, independence and purpose as part of teacher directed writing projects and child-initiated personal projects.</w:t>
            </w:r>
            <w:r>
              <w:rPr>
                <w:rStyle w:val="eop"/>
                <w:rFonts w:ascii="Calibri" w:hAnsi="Calibri" w:cs="Calibri"/>
                <w:sz w:val="22"/>
                <w:szCs w:val="22"/>
              </w:rPr>
              <w:t> </w:t>
            </w:r>
          </w:p>
          <w:p w14:paraId="651643B8"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230CF99"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normaltextrun"/>
                <w:rFonts w:ascii="Calibri" w:hAnsi="Calibri" w:cs="Calibri"/>
                <w:b/>
                <w:bCs/>
                <w:sz w:val="22"/>
                <w:szCs w:val="22"/>
                <w:u w:val="single"/>
              </w:rPr>
              <w:t>The Writing Process </w:t>
            </w:r>
            <w:r>
              <w:rPr>
                <w:rStyle w:val="eop"/>
                <w:rFonts w:ascii="Calibri" w:hAnsi="Calibri" w:cs="Calibri"/>
                <w:sz w:val="22"/>
                <w:szCs w:val="22"/>
              </w:rPr>
              <w:t> </w:t>
            </w:r>
          </w:p>
          <w:p w14:paraId="4598EDAF"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6E328E5"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We follow a </w:t>
            </w:r>
            <w:proofErr w:type="gramStart"/>
            <w:r>
              <w:rPr>
                <w:rStyle w:val="normaltextrun"/>
                <w:rFonts w:ascii="Calibri" w:hAnsi="Calibri" w:cs="Calibri"/>
                <w:sz w:val="22"/>
                <w:szCs w:val="22"/>
              </w:rPr>
              <w:t>simply</w:t>
            </w:r>
            <w:proofErr w:type="gramEnd"/>
            <w:r>
              <w:rPr>
                <w:rStyle w:val="normaltextrun"/>
                <w:rFonts w:ascii="Calibri" w:hAnsi="Calibri" w:cs="Calibri"/>
                <w:sz w:val="22"/>
                <w:szCs w:val="22"/>
              </w:rPr>
              <w:t xml:space="preserve"> and clear delivery model, which applies to all genres of writing:</w:t>
            </w:r>
            <w:r>
              <w:rPr>
                <w:rStyle w:val="eop"/>
                <w:rFonts w:ascii="Calibri" w:hAnsi="Calibri" w:cs="Calibri"/>
                <w:sz w:val="22"/>
                <w:szCs w:val="22"/>
              </w:rPr>
              <w:t> </w:t>
            </w:r>
          </w:p>
          <w:p w14:paraId="23A49643" w14:textId="77777777" w:rsidR="00867994" w:rsidRDefault="00000000" w:rsidP="00C457CC">
            <w:pPr>
              <w:pStyle w:val="paragraph"/>
              <w:spacing w:before="0" w:beforeAutospacing="0" w:after="0" w:afterAutospacing="0"/>
              <w:jc w:val="both"/>
              <w:textAlignment w:val="baseline"/>
              <w:rPr>
                <w:rFonts w:ascii="Segoe UI" w:hAnsi="Segoe UI" w:cs="Segoe UI"/>
                <w:sz w:val="18"/>
                <w:szCs w:val="18"/>
              </w:rPr>
            </w:pPr>
            <w:r>
              <w:rPr>
                <w:rStyle w:val="wacimagecontainer"/>
                <w:rFonts w:ascii="Segoe UI" w:eastAsiaTheme="majorEastAsia" w:hAnsi="Segoe UI" w:cs="Segoe UI"/>
                <w:sz w:val="18"/>
                <w:szCs w:val="18"/>
              </w:rPr>
              <w:pict w14:anchorId="13803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5.4pt;height:190.7pt">
                  <v:imagedata r:id="rId12" o:title="9963A957"/>
                </v:shape>
              </w:pict>
            </w:r>
            <w:r w:rsidR="00867994">
              <w:rPr>
                <w:rStyle w:val="eop"/>
                <w:rFonts w:ascii="Calibri" w:hAnsi="Calibri" w:cs="Calibri"/>
                <w:sz w:val="22"/>
                <w:szCs w:val="22"/>
              </w:rPr>
              <w:t> </w:t>
            </w:r>
          </w:p>
          <w:p w14:paraId="7C253D3C"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BAB3024"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162ACF8"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writing model intends to support the following:</w:t>
            </w:r>
            <w:r>
              <w:rPr>
                <w:rStyle w:val="eop"/>
                <w:rFonts w:ascii="Calibri" w:hAnsi="Calibri" w:cs="Calibri"/>
                <w:sz w:val="22"/>
                <w:szCs w:val="22"/>
              </w:rPr>
              <w:t> </w:t>
            </w:r>
          </w:p>
          <w:p w14:paraId="31928268"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CA1A13A" w14:textId="77777777" w:rsidR="00867994" w:rsidRDefault="00867994" w:rsidP="00C457CC">
            <w:pPr>
              <w:pStyle w:val="paragraph"/>
              <w:numPr>
                <w:ilvl w:val="0"/>
                <w:numId w:val="2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Allowing pupils to identify a </w:t>
            </w:r>
            <w:r>
              <w:rPr>
                <w:rStyle w:val="normaltextrun"/>
                <w:rFonts w:ascii="Calibri" w:hAnsi="Calibri" w:cs="Calibri"/>
                <w:b/>
                <w:bCs/>
                <w:sz w:val="22"/>
                <w:szCs w:val="22"/>
              </w:rPr>
              <w:t>real purpose</w:t>
            </w:r>
            <w:r>
              <w:rPr>
                <w:rStyle w:val="normaltextrun"/>
                <w:rFonts w:ascii="Calibri" w:hAnsi="Calibri" w:cs="Calibri"/>
                <w:sz w:val="22"/>
                <w:szCs w:val="22"/>
              </w:rPr>
              <w:t xml:space="preserve"> for their writing</w:t>
            </w:r>
            <w:r>
              <w:rPr>
                <w:rStyle w:val="eop"/>
                <w:rFonts w:ascii="Calibri" w:hAnsi="Calibri" w:cs="Calibri"/>
                <w:sz w:val="22"/>
                <w:szCs w:val="22"/>
              </w:rPr>
              <w:t> </w:t>
            </w:r>
          </w:p>
          <w:p w14:paraId="3FB318EB" w14:textId="77777777" w:rsidR="00867994" w:rsidRDefault="00867994" w:rsidP="00C457CC">
            <w:pPr>
              <w:pStyle w:val="paragraph"/>
              <w:numPr>
                <w:ilvl w:val="0"/>
                <w:numId w:val="2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Identifying a </w:t>
            </w:r>
            <w:r>
              <w:rPr>
                <w:rStyle w:val="normaltextrun"/>
                <w:rFonts w:ascii="Calibri" w:hAnsi="Calibri" w:cs="Calibri"/>
                <w:b/>
                <w:bCs/>
                <w:sz w:val="22"/>
                <w:szCs w:val="22"/>
              </w:rPr>
              <w:t>real audience</w:t>
            </w:r>
            <w:r>
              <w:rPr>
                <w:rStyle w:val="normaltextrun"/>
                <w:rFonts w:ascii="Calibri" w:hAnsi="Calibri" w:cs="Calibri"/>
                <w:sz w:val="22"/>
                <w:szCs w:val="22"/>
              </w:rPr>
              <w:t xml:space="preserve"> and understanding the best way to present the writing to them</w:t>
            </w:r>
            <w:r>
              <w:rPr>
                <w:rStyle w:val="eop"/>
                <w:rFonts w:ascii="Calibri" w:hAnsi="Calibri" w:cs="Calibri"/>
                <w:sz w:val="22"/>
                <w:szCs w:val="22"/>
              </w:rPr>
              <w:t> </w:t>
            </w:r>
          </w:p>
          <w:p w14:paraId="54CFC9F5" w14:textId="77777777" w:rsidR="00867994" w:rsidRDefault="00867994" w:rsidP="00C457CC">
            <w:pPr>
              <w:pStyle w:val="paragraph"/>
              <w:numPr>
                <w:ilvl w:val="0"/>
                <w:numId w:val="30"/>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lastRenderedPageBreak/>
              <w:t xml:space="preserve">Allowing pupils to </w:t>
            </w:r>
            <w:r>
              <w:rPr>
                <w:rStyle w:val="normaltextrun"/>
                <w:rFonts w:ascii="Calibri" w:hAnsi="Calibri" w:cs="Calibri"/>
                <w:b/>
                <w:bCs/>
                <w:sz w:val="22"/>
                <w:szCs w:val="22"/>
              </w:rPr>
              <w:t>present their ideas</w:t>
            </w:r>
            <w:r>
              <w:rPr>
                <w:rStyle w:val="normaltextrun"/>
                <w:rFonts w:ascii="Calibri" w:hAnsi="Calibri" w:cs="Calibri"/>
                <w:sz w:val="22"/>
                <w:szCs w:val="22"/>
              </w:rPr>
              <w:t xml:space="preserve"> and </w:t>
            </w:r>
            <w:r>
              <w:rPr>
                <w:rStyle w:val="normaltextrun"/>
                <w:rFonts w:ascii="Calibri" w:hAnsi="Calibri" w:cs="Calibri"/>
                <w:b/>
                <w:bCs/>
                <w:sz w:val="22"/>
                <w:szCs w:val="22"/>
              </w:rPr>
              <w:t>take ownership</w:t>
            </w:r>
            <w:r>
              <w:rPr>
                <w:rStyle w:val="normaltextrun"/>
                <w:rFonts w:ascii="Calibri" w:hAnsi="Calibri" w:cs="Calibri"/>
                <w:sz w:val="22"/>
                <w:szCs w:val="22"/>
              </w:rPr>
              <w:t xml:space="preserve"> for their writing</w:t>
            </w:r>
            <w:r>
              <w:rPr>
                <w:rStyle w:val="eop"/>
                <w:rFonts w:ascii="Calibri" w:hAnsi="Calibri" w:cs="Calibri"/>
                <w:sz w:val="22"/>
                <w:szCs w:val="22"/>
              </w:rPr>
              <w:t> </w:t>
            </w:r>
          </w:p>
          <w:p w14:paraId="4283ACFF" w14:textId="77777777" w:rsidR="00867994" w:rsidRDefault="00867994" w:rsidP="00C457CC">
            <w:pPr>
              <w:pStyle w:val="paragraph"/>
              <w:numPr>
                <w:ilvl w:val="0"/>
                <w:numId w:val="3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Learn and practise </w:t>
            </w:r>
            <w:r>
              <w:rPr>
                <w:rStyle w:val="normaltextrun"/>
                <w:rFonts w:ascii="Calibri" w:hAnsi="Calibri" w:cs="Calibri"/>
                <w:b/>
                <w:bCs/>
                <w:sz w:val="22"/>
                <w:szCs w:val="22"/>
              </w:rPr>
              <w:t>spelling, punctuation, and grammar</w:t>
            </w:r>
            <w:r>
              <w:rPr>
                <w:rStyle w:val="normaltextrun"/>
                <w:rFonts w:ascii="Calibri" w:hAnsi="Calibri" w:cs="Calibri"/>
                <w:sz w:val="22"/>
                <w:szCs w:val="22"/>
              </w:rPr>
              <w:t xml:space="preserve"> in a relaxed environment </w:t>
            </w:r>
            <w:r>
              <w:rPr>
                <w:rStyle w:val="eop"/>
                <w:rFonts w:ascii="Calibri" w:hAnsi="Calibri" w:cs="Calibri"/>
                <w:sz w:val="22"/>
                <w:szCs w:val="22"/>
              </w:rPr>
              <w:t> </w:t>
            </w:r>
          </w:p>
          <w:p w14:paraId="5090892E" w14:textId="77777777" w:rsidR="00867994" w:rsidRDefault="00867994" w:rsidP="00C457CC">
            <w:pPr>
              <w:pStyle w:val="paragraph"/>
              <w:numPr>
                <w:ilvl w:val="0"/>
                <w:numId w:val="3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b/>
                <w:bCs/>
                <w:sz w:val="22"/>
                <w:szCs w:val="22"/>
              </w:rPr>
              <w:t>Celebrating</w:t>
            </w:r>
            <w:r>
              <w:rPr>
                <w:rStyle w:val="normaltextrun"/>
                <w:rFonts w:ascii="Calibri" w:hAnsi="Calibri" w:cs="Calibri"/>
                <w:sz w:val="22"/>
                <w:szCs w:val="22"/>
              </w:rPr>
              <w:t xml:space="preserve"> completed project work and writing achievements </w:t>
            </w:r>
            <w:r>
              <w:rPr>
                <w:rStyle w:val="eop"/>
                <w:rFonts w:ascii="Calibri" w:hAnsi="Calibri" w:cs="Calibri"/>
                <w:sz w:val="22"/>
                <w:szCs w:val="22"/>
              </w:rPr>
              <w:t> </w:t>
            </w:r>
          </w:p>
          <w:p w14:paraId="53EB7BAE"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BF4B77A"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Within each 45-minute lesson (4x weekly), students are taught and offered to try new writing skills either explicit to the writing genre or as part of building knowledge and confidence using appropriate spelling, punctuation, and grammar. Our lessons are also designed to encourage new vocabulary and immerse our students in an environment that is vocabulary rich. </w:t>
            </w:r>
            <w:r>
              <w:rPr>
                <w:rStyle w:val="eop"/>
                <w:rFonts w:ascii="Calibri" w:hAnsi="Calibri" w:cs="Calibri"/>
                <w:sz w:val="22"/>
                <w:szCs w:val="22"/>
              </w:rPr>
              <w:t> </w:t>
            </w:r>
          </w:p>
          <w:p w14:paraId="462F8110"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7771011"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normaltextrun"/>
                <w:rFonts w:ascii="Calibri" w:hAnsi="Calibri" w:cs="Calibri"/>
                <w:b/>
                <w:bCs/>
                <w:sz w:val="22"/>
                <w:szCs w:val="22"/>
                <w:u w:val="single"/>
              </w:rPr>
              <w:t>Promoting the ‘Love for Writing’ Culture at Coxlease </w:t>
            </w:r>
            <w:r>
              <w:rPr>
                <w:rStyle w:val="eop"/>
                <w:rFonts w:ascii="Calibri" w:hAnsi="Calibri" w:cs="Calibri"/>
                <w:sz w:val="22"/>
                <w:szCs w:val="22"/>
              </w:rPr>
              <w:t> </w:t>
            </w:r>
          </w:p>
          <w:p w14:paraId="1DB01A12"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7E4D95E"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As part of our model of delivery, students are also encouraged to take on an independent writing project, which allows them to explore writing techniques, genres, and ideas in a non-judgemental environment. We strongly encourage ownership, so in turn, confidence is built, and progress is made within Literacy. This is reflected through our reading lessons, where pupils are naturally encouraged to use ideas, pinch vocabulary, and model </w:t>
            </w:r>
            <w:proofErr w:type="gramStart"/>
            <w:r>
              <w:rPr>
                <w:rStyle w:val="normaltextrun"/>
                <w:rFonts w:ascii="Calibri" w:hAnsi="Calibri" w:cs="Calibri"/>
                <w:sz w:val="22"/>
                <w:szCs w:val="22"/>
              </w:rPr>
              <w:t>similar to</w:t>
            </w:r>
            <w:proofErr w:type="gramEnd"/>
            <w:r>
              <w:rPr>
                <w:rStyle w:val="normaltextrun"/>
                <w:rFonts w:ascii="Calibri" w:hAnsi="Calibri" w:cs="Calibri"/>
                <w:sz w:val="22"/>
                <w:szCs w:val="22"/>
              </w:rPr>
              <w:t xml:space="preserve"> how the author has written. </w:t>
            </w:r>
            <w:r>
              <w:rPr>
                <w:rStyle w:val="eop"/>
                <w:rFonts w:ascii="Calibri" w:hAnsi="Calibri" w:cs="Calibri"/>
                <w:sz w:val="22"/>
                <w:szCs w:val="22"/>
              </w:rPr>
              <w:t> </w:t>
            </w:r>
          </w:p>
          <w:p w14:paraId="7173A0CB"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eop"/>
                <w:rFonts w:ascii="Calibri" w:hAnsi="Calibri" w:cs="Calibri"/>
                <w:sz w:val="22"/>
                <w:szCs w:val="22"/>
              </w:rPr>
              <w:t> </w:t>
            </w:r>
          </w:p>
          <w:p w14:paraId="7BEC8E0B"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Assessment &amp; Tracking </w:t>
            </w:r>
            <w:r>
              <w:rPr>
                <w:rStyle w:val="eop"/>
                <w:rFonts w:ascii="Calibri" w:hAnsi="Calibri" w:cs="Calibri"/>
                <w:sz w:val="22"/>
                <w:szCs w:val="22"/>
              </w:rPr>
              <w:t> </w:t>
            </w:r>
          </w:p>
          <w:p w14:paraId="3D123767"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EE44A8C"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To Assess our students’ writing achievements, they are required to complete a Rising Stars assessment each term until they have reached a year 6 in SPAG and reading, after year 6 the undertake Access Reading teats twice yearly. Teachers use their judgements as to which age-appropriate test suits each individual and record all results using the Rising Stars tracking tool. From this, teachers can identify areas for development for a group of pupils or on an individual basis. These results support and dictate future writing lessons when considering the teaching of basic writing skills. Writing pieces are also selected to support with in-house moderation and to identify individual pupils’ working-at level when needed. </w:t>
            </w:r>
            <w:r>
              <w:rPr>
                <w:rStyle w:val="eop"/>
                <w:rFonts w:ascii="Calibri" w:hAnsi="Calibri" w:cs="Calibri"/>
                <w:sz w:val="22"/>
                <w:szCs w:val="22"/>
              </w:rPr>
              <w:t> </w:t>
            </w:r>
          </w:p>
          <w:p w14:paraId="37AE3440" w14:textId="170CDECA" w:rsidR="00867994" w:rsidRPr="0021017D" w:rsidRDefault="00867994" w:rsidP="00C457CC">
            <w:pPr>
              <w:pStyle w:val="ListParagraph"/>
              <w:ind w:left="0"/>
              <w:jc w:val="both"/>
            </w:pPr>
            <w:r>
              <w:rPr>
                <w:rStyle w:val="eop"/>
                <w:rFonts w:ascii="Calibri" w:hAnsi="Calibri" w:cs="Calibri"/>
              </w:rPr>
              <w:t> </w:t>
            </w:r>
          </w:p>
        </w:tc>
      </w:tr>
      <w:tr w:rsidR="00867994" w:rsidRPr="0021017D" w14:paraId="743CA15F" w14:textId="77777777" w:rsidTr="00867994">
        <w:tc>
          <w:tcPr>
            <w:tcW w:w="9050" w:type="dxa"/>
            <w:tcBorders>
              <w:top w:val="single" w:sz="6" w:space="0" w:color="auto"/>
              <w:left w:val="single" w:sz="6" w:space="0" w:color="auto"/>
              <w:bottom w:val="single" w:sz="6" w:space="0" w:color="auto"/>
              <w:right w:val="single" w:sz="6" w:space="0" w:color="auto"/>
            </w:tcBorders>
          </w:tcPr>
          <w:p w14:paraId="688C94FD" w14:textId="156C31AA" w:rsidR="00867994" w:rsidRPr="0021017D" w:rsidRDefault="00867994" w:rsidP="00C457CC">
            <w:pPr>
              <w:pStyle w:val="ListParagraph"/>
              <w:numPr>
                <w:ilvl w:val="0"/>
                <w:numId w:val="2"/>
              </w:numPr>
              <w:jc w:val="both"/>
              <w:rPr>
                <w:b/>
              </w:rPr>
            </w:pPr>
            <w:r>
              <w:rPr>
                <w:rStyle w:val="normaltextrun"/>
                <w:rFonts w:ascii="Calibri" w:hAnsi="Calibri" w:cs="Calibri"/>
                <w:b/>
                <w:bCs/>
              </w:rPr>
              <w:lastRenderedPageBreak/>
              <w:t>Literacy in KS4</w:t>
            </w:r>
            <w:r>
              <w:rPr>
                <w:rStyle w:val="eop"/>
                <w:rFonts w:ascii="Calibri" w:hAnsi="Calibri" w:cs="Calibri"/>
              </w:rPr>
              <w:t> </w:t>
            </w:r>
          </w:p>
        </w:tc>
      </w:tr>
      <w:tr w:rsidR="00867994" w:rsidRPr="0021017D" w14:paraId="309D07B3" w14:textId="77777777" w:rsidTr="00867994">
        <w:tc>
          <w:tcPr>
            <w:tcW w:w="9050" w:type="dxa"/>
            <w:tcBorders>
              <w:top w:val="single" w:sz="6" w:space="0" w:color="auto"/>
              <w:left w:val="single" w:sz="6" w:space="0" w:color="auto"/>
              <w:bottom w:val="single" w:sz="6" w:space="0" w:color="auto"/>
              <w:right w:val="single" w:sz="6" w:space="0" w:color="auto"/>
            </w:tcBorders>
          </w:tcPr>
          <w:p w14:paraId="72BA155B"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eop"/>
                <w:rFonts w:ascii="Calibri" w:hAnsi="Calibri" w:cs="Calibri"/>
                <w:sz w:val="22"/>
                <w:szCs w:val="22"/>
              </w:rPr>
              <w:t> </w:t>
            </w:r>
          </w:p>
          <w:p w14:paraId="67D232A7"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normaltextrun"/>
                <w:rFonts w:ascii="Calibri" w:hAnsi="Calibri" w:cs="Calibri"/>
                <w:b/>
                <w:bCs/>
                <w:sz w:val="22"/>
                <w:szCs w:val="22"/>
                <w:u w:val="single"/>
              </w:rPr>
              <w:t>Implementation </w:t>
            </w:r>
            <w:r>
              <w:rPr>
                <w:rStyle w:val="eop"/>
                <w:rFonts w:ascii="Calibri" w:hAnsi="Calibri" w:cs="Calibri"/>
                <w:sz w:val="22"/>
                <w:szCs w:val="22"/>
              </w:rPr>
              <w:t> </w:t>
            </w:r>
          </w:p>
          <w:p w14:paraId="05EE0E68"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eop"/>
                <w:rFonts w:ascii="Calibri" w:hAnsi="Calibri" w:cs="Calibri"/>
                <w:sz w:val="22"/>
                <w:szCs w:val="22"/>
              </w:rPr>
              <w:t> </w:t>
            </w:r>
          </w:p>
          <w:p w14:paraId="18AB682D"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At Coxlease School, our nurture model within Primary &amp; KS3 has developed our students emotionally, socially, and academically, so they are able to access and work towards their English qualifications. English is delivered with a combination of writing and reading 4x weekly (45-minute lessons). </w:t>
            </w:r>
            <w:r>
              <w:rPr>
                <w:rStyle w:val="eop"/>
                <w:rFonts w:ascii="Calibri" w:hAnsi="Calibri" w:cs="Calibri"/>
                <w:sz w:val="22"/>
                <w:szCs w:val="22"/>
              </w:rPr>
              <w:t> </w:t>
            </w:r>
          </w:p>
          <w:p w14:paraId="02C84943"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8AF4AAF"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Calibri" w:hAnsi="Calibri" w:cs="Calibri"/>
                <w:sz w:val="22"/>
                <w:szCs w:val="22"/>
              </w:rPr>
              <w:t>Similar to</w:t>
            </w:r>
            <w:proofErr w:type="gramEnd"/>
            <w:r>
              <w:rPr>
                <w:rStyle w:val="normaltextrun"/>
                <w:rFonts w:ascii="Calibri" w:hAnsi="Calibri" w:cs="Calibri"/>
                <w:sz w:val="22"/>
                <w:szCs w:val="22"/>
              </w:rPr>
              <w:t xml:space="preserve"> Primary &amp; KS3, our students are exposed to an array of high-quality texts, which promote rich vocabulary, writing technique and the purpose of genre. Reading techniques are taught like our VIPERS model but also incorporate AQA suggested materials to encourage effective answers and to allow our pupils to show a greater understanding of the text. </w:t>
            </w:r>
            <w:r>
              <w:rPr>
                <w:rStyle w:val="eop"/>
                <w:rFonts w:ascii="Calibri" w:hAnsi="Calibri" w:cs="Calibri"/>
                <w:sz w:val="22"/>
                <w:szCs w:val="22"/>
              </w:rPr>
              <w:t> </w:t>
            </w:r>
          </w:p>
          <w:p w14:paraId="57D0F005"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594D57F"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Writing techniques including spelling, punctuation and grammar is taught explicitly to pupils to help prepare for achieving a qualification in Literacy. Also, promoting and supporting students to understand authors choice and the effect on the reader. </w:t>
            </w:r>
            <w:r>
              <w:rPr>
                <w:rStyle w:val="eop"/>
                <w:rFonts w:ascii="Calibri" w:hAnsi="Calibri" w:cs="Calibri"/>
                <w:sz w:val="22"/>
                <w:szCs w:val="22"/>
              </w:rPr>
              <w:t> </w:t>
            </w:r>
          </w:p>
          <w:p w14:paraId="39CF2F45"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eop"/>
                <w:rFonts w:ascii="Calibri" w:hAnsi="Calibri" w:cs="Calibri"/>
                <w:sz w:val="22"/>
                <w:szCs w:val="22"/>
              </w:rPr>
              <w:t> </w:t>
            </w:r>
          </w:p>
          <w:p w14:paraId="5C554481"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normaltextrun"/>
                <w:rFonts w:ascii="Calibri" w:hAnsi="Calibri" w:cs="Calibri"/>
                <w:b/>
                <w:bCs/>
                <w:sz w:val="22"/>
                <w:szCs w:val="22"/>
                <w:u w:val="single"/>
              </w:rPr>
              <w:t>Assessment &amp; Qualifications </w:t>
            </w:r>
            <w:r>
              <w:rPr>
                <w:rStyle w:val="eop"/>
                <w:rFonts w:ascii="Calibri" w:hAnsi="Calibri" w:cs="Calibri"/>
                <w:sz w:val="22"/>
                <w:szCs w:val="22"/>
              </w:rPr>
              <w:t> </w:t>
            </w:r>
          </w:p>
          <w:p w14:paraId="4E31EBEB"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eop"/>
                <w:rFonts w:ascii="Calibri" w:hAnsi="Calibri" w:cs="Calibri"/>
                <w:sz w:val="22"/>
                <w:szCs w:val="22"/>
              </w:rPr>
              <w:t> </w:t>
            </w:r>
          </w:p>
          <w:p w14:paraId="6C347527"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qualifications that are offered at Coxlease School, are as followed:</w:t>
            </w:r>
            <w:r>
              <w:rPr>
                <w:rStyle w:val="eop"/>
                <w:rFonts w:ascii="Calibri" w:hAnsi="Calibri" w:cs="Calibri"/>
                <w:sz w:val="22"/>
                <w:szCs w:val="22"/>
              </w:rPr>
              <w:t> </w:t>
            </w:r>
          </w:p>
          <w:p w14:paraId="337F50C1"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5"/>
            </w:tblGrid>
            <w:tr w:rsidR="00867994" w14:paraId="490C4A0A" w14:textId="77777777">
              <w:trPr>
                <w:trHeight w:val="300"/>
              </w:trPr>
              <w:tc>
                <w:tcPr>
                  <w:tcW w:w="7125" w:type="dxa"/>
                  <w:tcBorders>
                    <w:top w:val="single" w:sz="6" w:space="0" w:color="auto"/>
                    <w:left w:val="single" w:sz="6" w:space="0" w:color="auto"/>
                    <w:bottom w:val="single" w:sz="6" w:space="0" w:color="auto"/>
                    <w:right w:val="single" w:sz="6" w:space="0" w:color="auto"/>
                  </w:tcBorders>
                  <w:hideMark/>
                </w:tcPr>
                <w:p w14:paraId="3649D20F" w14:textId="77777777" w:rsidR="00867994" w:rsidRDefault="00867994" w:rsidP="00C457CC">
                  <w:pPr>
                    <w:pStyle w:val="paragraph"/>
                    <w:spacing w:before="0" w:beforeAutospacing="0" w:after="0" w:afterAutospacing="0"/>
                    <w:jc w:val="both"/>
                    <w:textAlignment w:val="baseline"/>
                  </w:pPr>
                  <w:r>
                    <w:rPr>
                      <w:rStyle w:val="normaltextrun"/>
                      <w:rFonts w:ascii="Calibri" w:hAnsi="Calibri" w:cs="Calibri"/>
                      <w:b/>
                      <w:bCs/>
                      <w:sz w:val="22"/>
                      <w:szCs w:val="22"/>
                    </w:rPr>
                    <w:t>Qualification</w:t>
                  </w:r>
                  <w:r>
                    <w:rPr>
                      <w:rStyle w:val="eop"/>
                      <w:rFonts w:ascii="Calibri" w:hAnsi="Calibri" w:cs="Calibri"/>
                      <w:sz w:val="22"/>
                      <w:szCs w:val="22"/>
                    </w:rPr>
                    <w:t> </w:t>
                  </w:r>
                </w:p>
              </w:tc>
            </w:tr>
            <w:tr w:rsidR="00867994" w14:paraId="3160BED3" w14:textId="77777777">
              <w:trPr>
                <w:trHeight w:val="300"/>
              </w:trPr>
              <w:tc>
                <w:tcPr>
                  <w:tcW w:w="7125" w:type="dxa"/>
                  <w:tcBorders>
                    <w:top w:val="single" w:sz="6" w:space="0" w:color="auto"/>
                    <w:left w:val="single" w:sz="6" w:space="0" w:color="auto"/>
                    <w:bottom w:val="single" w:sz="6" w:space="0" w:color="auto"/>
                    <w:right w:val="single" w:sz="6" w:space="0" w:color="auto"/>
                  </w:tcBorders>
                  <w:hideMark/>
                </w:tcPr>
                <w:p w14:paraId="77812B22" w14:textId="77777777" w:rsidR="00867994" w:rsidRDefault="00867994" w:rsidP="00C457CC">
                  <w:pPr>
                    <w:pStyle w:val="paragraph"/>
                    <w:spacing w:before="0" w:beforeAutospacing="0" w:after="0" w:afterAutospacing="0"/>
                    <w:jc w:val="both"/>
                    <w:textAlignment w:val="baseline"/>
                  </w:pPr>
                  <w:r>
                    <w:rPr>
                      <w:rStyle w:val="normaltextrun"/>
                      <w:rFonts w:ascii="Tahoma" w:hAnsi="Tahoma" w:cs="Tahoma"/>
                      <w:i/>
                      <w:iCs/>
                      <w:sz w:val="20"/>
                      <w:szCs w:val="20"/>
                    </w:rPr>
                    <w:lastRenderedPageBreak/>
                    <w:t>Functional Skills Level 1 – Year 10 – when appropriate</w:t>
                  </w:r>
                  <w:r>
                    <w:rPr>
                      <w:rStyle w:val="eop"/>
                      <w:sz w:val="20"/>
                      <w:szCs w:val="20"/>
                    </w:rPr>
                    <w:t> </w:t>
                  </w:r>
                </w:p>
              </w:tc>
            </w:tr>
            <w:tr w:rsidR="00867994" w14:paraId="03E8A0C4" w14:textId="77777777">
              <w:trPr>
                <w:trHeight w:val="300"/>
              </w:trPr>
              <w:tc>
                <w:tcPr>
                  <w:tcW w:w="7125" w:type="dxa"/>
                  <w:tcBorders>
                    <w:top w:val="single" w:sz="6" w:space="0" w:color="auto"/>
                    <w:left w:val="single" w:sz="6" w:space="0" w:color="auto"/>
                    <w:bottom w:val="single" w:sz="6" w:space="0" w:color="auto"/>
                    <w:right w:val="single" w:sz="6" w:space="0" w:color="auto"/>
                  </w:tcBorders>
                  <w:hideMark/>
                </w:tcPr>
                <w:p w14:paraId="678567B6" w14:textId="77777777" w:rsidR="00867994" w:rsidRDefault="00867994" w:rsidP="00C457CC">
                  <w:pPr>
                    <w:pStyle w:val="paragraph"/>
                    <w:spacing w:before="0" w:beforeAutospacing="0" w:after="0" w:afterAutospacing="0"/>
                    <w:jc w:val="both"/>
                    <w:textAlignment w:val="baseline"/>
                  </w:pPr>
                  <w:r>
                    <w:rPr>
                      <w:rStyle w:val="normaltextrun"/>
                      <w:rFonts w:ascii="Tahoma" w:hAnsi="Tahoma" w:cs="Tahoma"/>
                      <w:i/>
                      <w:iCs/>
                      <w:sz w:val="20"/>
                      <w:szCs w:val="20"/>
                    </w:rPr>
                    <w:t>Functional skills Level 2 – year 11 – Once FS1 is passed</w:t>
                  </w:r>
                  <w:r>
                    <w:rPr>
                      <w:rStyle w:val="eop"/>
                      <w:sz w:val="20"/>
                      <w:szCs w:val="20"/>
                    </w:rPr>
                    <w:t> </w:t>
                  </w:r>
                </w:p>
              </w:tc>
            </w:tr>
            <w:tr w:rsidR="00867994" w14:paraId="65D5E66B" w14:textId="77777777">
              <w:trPr>
                <w:trHeight w:val="300"/>
              </w:trPr>
              <w:tc>
                <w:tcPr>
                  <w:tcW w:w="7125" w:type="dxa"/>
                  <w:tcBorders>
                    <w:top w:val="single" w:sz="6" w:space="0" w:color="auto"/>
                    <w:left w:val="single" w:sz="6" w:space="0" w:color="auto"/>
                    <w:bottom w:val="single" w:sz="6" w:space="0" w:color="auto"/>
                    <w:right w:val="single" w:sz="6" w:space="0" w:color="auto"/>
                  </w:tcBorders>
                  <w:hideMark/>
                </w:tcPr>
                <w:p w14:paraId="0E6C250C" w14:textId="77777777" w:rsidR="00867994" w:rsidRDefault="00867994" w:rsidP="00C457CC">
                  <w:pPr>
                    <w:pStyle w:val="paragraph"/>
                    <w:spacing w:before="0" w:beforeAutospacing="0" w:after="0" w:afterAutospacing="0"/>
                    <w:jc w:val="both"/>
                    <w:textAlignment w:val="baseline"/>
                  </w:pPr>
                  <w:r>
                    <w:rPr>
                      <w:rStyle w:val="normaltextrun"/>
                      <w:rFonts w:ascii="Tahoma" w:hAnsi="Tahoma" w:cs="Tahoma"/>
                      <w:i/>
                      <w:iCs/>
                      <w:sz w:val="20"/>
                      <w:szCs w:val="20"/>
                    </w:rPr>
                    <w:t>AQA ELC Gold Step – Year 10/11 - ability dependent</w:t>
                  </w:r>
                  <w:r>
                    <w:rPr>
                      <w:rStyle w:val="eop"/>
                      <w:sz w:val="20"/>
                      <w:szCs w:val="20"/>
                    </w:rPr>
                    <w:t> </w:t>
                  </w:r>
                </w:p>
              </w:tc>
            </w:tr>
            <w:tr w:rsidR="00867994" w14:paraId="3B0B2419" w14:textId="77777777">
              <w:trPr>
                <w:trHeight w:val="300"/>
              </w:trPr>
              <w:tc>
                <w:tcPr>
                  <w:tcW w:w="7125" w:type="dxa"/>
                  <w:tcBorders>
                    <w:top w:val="single" w:sz="6" w:space="0" w:color="auto"/>
                    <w:left w:val="single" w:sz="6" w:space="0" w:color="auto"/>
                    <w:bottom w:val="single" w:sz="6" w:space="0" w:color="auto"/>
                    <w:right w:val="single" w:sz="6" w:space="0" w:color="auto"/>
                  </w:tcBorders>
                  <w:hideMark/>
                </w:tcPr>
                <w:p w14:paraId="59F58564" w14:textId="77777777" w:rsidR="00867994" w:rsidRDefault="00867994" w:rsidP="00C457CC">
                  <w:pPr>
                    <w:pStyle w:val="paragraph"/>
                    <w:spacing w:before="0" w:beforeAutospacing="0" w:after="0" w:afterAutospacing="0"/>
                    <w:jc w:val="both"/>
                    <w:textAlignment w:val="baseline"/>
                  </w:pPr>
                  <w:r>
                    <w:rPr>
                      <w:rStyle w:val="normaltextrun"/>
                      <w:rFonts w:ascii="Tahoma" w:hAnsi="Tahoma" w:cs="Tahoma"/>
                      <w:i/>
                      <w:iCs/>
                      <w:sz w:val="20"/>
                      <w:szCs w:val="20"/>
                    </w:rPr>
                    <w:t>GCSE English Language (and Literature, when applicable) - If Functional skills 2 has been passed or being taken</w:t>
                  </w:r>
                  <w:r>
                    <w:rPr>
                      <w:rStyle w:val="eop"/>
                      <w:sz w:val="20"/>
                      <w:szCs w:val="20"/>
                    </w:rPr>
                    <w:t> </w:t>
                  </w:r>
                </w:p>
              </w:tc>
            </w:tr>
          </w:tbl>
          <w:p w14:paraId="35749399"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44F171E" w14:textId="77777777" w:rsidR="00867994" w:rsidRDefault="00867994" w:rsidP="00C457CC">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All students will take summative assessments three times yearly, the scheme used by Coxlease is the Rising Stars assessments which will be taken until the pupils are working above a year 9 level in reading and writing.</w:t>
            </w:r>
            <w:r>
              <w:rPr>
                <w:rStyle w:val="eop"/>
                <w:rFonts w:ascii="Calibri" w:hAnsi="Calibri" w:cs="Calibri"/>
                <w:sz w:val="22"/>
                <w:szCs w:val="22"/>
              </w:rPr>
              <w:t> </w:t>
            </w:r>
          </w:p>
          <w:p w14:paraId="057BC96E" w14:textId="77777777" w:rsidR="00B91959" w:rsidRDefault="00B91959" w:rsidP="00C457CC">
            <w:pPr>
              <w:pStyle w:val="paragraph"/>
              <w:spacing w:before="0" w:beforeAutospacing="0" w:after="0" w:afterAutospacing="0"/>
              <w:jc w:val="both"/>
              <w:textAlignment w:val="baseline"/>
              <w:rPr>
                <w:rFonts w:ascii="Segoe UI" w:hAnsi="Segoe UI" w:cs="Segoe UI"/>
                <w:sz w:val="18"/>
                <w:szCs w:val="18"/>
              </w:rPr>
            </w:pPr>
          </w:p>
          <w:p w14:paraId="7936BF20"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use of the pupils’ central documents and results of the Rising stars assessments supports teachers in the decision of appropriate entry level for each individual and regular moderation ensures expected achievement are accurate for all pupils. This includes ensuring our students remain on track and enables teachers towards the appropriate interventions for each student should they be required.</w:t>
            </w:r>
            <w:r>
              <w:rPr>
                <w:rStyle w:val="eop"/>
                <w:rFonts w:ascii="Calibri" w:hAnsi="Calibri" w:cs="Calibri"/>
                <w:sz w:val="22"/>
                <w:szCs w:val="22"/>
              </w:rPr>
              <w:t> </w:t>
            </w:r>
          </w:p>
          <w:p w14:paraId="444F17AD"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eop"/>
                <w:rFonts w:ascii="Calibri" w:hAnsi="Calibri" w:cs="Calibri"/>
                <w:sz w:val="22"/>
                <w:szCs w:val="22"/>
              </w:rPr>
              <w:t> </w:t>
            </w:r>
          </w:p>
          <w:p w14:paraId="23E5593C" w14:textId="294C14CD" w:rsidR="00867994" w:rsidRPr="0021017D" w:rsidRDefault="00867994" w:rsidP="00C457CC">
            <w:pPr>
              <w:pStyle w:val="ListParagraph"/>
              <w:ind w:left="0"/>
              <w:jc w:val="both"/>
            </w:pPr>
            <w:r>
              <w:rPr>
                <w:rStyle w:val="eop"/>
                <w:rFonts w:ascii="Calibri" w:hAnsi="Calibri" w:cs="Calibri"/>
              </w:rPr>
              <w:t> </w:t>
            </w:r>
          </w:p>
        </w:tc>
      </w:tr>
      <w:tr w:rsidR="00867994" w:rsidRPr="0021017D" w14:paraId="2A3403C2" w14:textId="77777777" w:rsidTr="00867994">
        <w:tc>
          <w:tcPr>
            <w:tcW w:w="9050" w:type="dxa"/>
            <w:tcBorders>
              <w:top w:val="single" w:sz="6" w:space="0" w:color="auto"/>
              <w:left w:val="single" w:sz="6" w:space="0" w:color="auto"/>
              <w:bottom w:val="single" w:sz="6" w:space="0" w:color="auto"/>
              <w:right w:val="single" w:sz="6" w:space="0" w:color="auto"/>
            </w:tcBorders>
          </w:tcPr>
          <w:p w14:paraId="133D1AA6" w14:textId="727ACADD" w:rsidR="00867994" w:rsidRPr="0021017D" w:rsidRDefault="00867994" w:rsidP="00C457CC">
            <w:pPr>
              <w:pStyle w:val="ListParagraph"/>
              <w:numPr>
                <w:ilvl w:val="0"/>
                <w:numId w:val="2"/>
              </w:numPr>
              <w:jc w:val="both"/>
              <w:rPr>
                <w:b/>
              </w:rPr>
            </w:pPr>
            <w:r>
              <w:rPr>
                <w:rStyle w:val="normaltextrun"/>
                <w:rFonts w:ascii="Calibri" w:hAnsi="Calibri" w:cs="Calibri"/>
                <w:b/>
                <w:bCs/>
              </w:rPr>
              <w:lastRenderedPageBreak/>
              <w:t xml:space="preserve">Literacy in </w:t>
            </w:r>
            <w:proofErr w:type="gramStart"/>
            <w:r>
              <w:rPr>
                <w:rStyle w:val="normaltextrun"/>
                <w:rFonts w:ascii="Calibri" w:hAnsi="Calibri" w:cs="Calibri"/>
                <w:b/>
                <w:bCs/>
              </w:rPr>
              <w:t>Post-16</w:t>
            </w:r>
            <w:proofErr w:type="gramEnd"/>
            <w:r>
              <w:rPr>
                <w:rStyle w:val="normaltextrun"/>
                <w:rFonts w:ascii="Calibri" w:hAnsi="Calibri" w:cs="Calibri"/>
                <w:b/>
                <w:bCs/>
              </w:rPr>
              <w:t>  </w:t>
            </w:r>
            <w:r>
              <w:rPr>
                <w:rStyle w:val="eop"/>
                <w:rFonts w:ascii="Calibri" w:hAnsi="Calibri" w:cs="Calibri"/>
              </w:rPr>
              <w:t> </w:t>
            </w:r>
          </w:p>
        </w:tc>
      </w:tr>
      <w:tr w:rsidR="00867994" w:rsidRPr="0021017D" w14:paraId="18812309" w14:textId="77777777" w:rsidTr="00867994">
        <w:tc>
          <w:tcPr>
            <w:tcW w:w="9050" w:type="dxa"/>
            <w:tcBorders>
              <w:top w:val="single" w:sz="6" w:space="0" w:color="auto"/>
              <w:left w:val="single" w:sz="6" w:space="0" w:color="auto"/>
              <w:bottom w:val="single" w:sz="6" w:space="0" w:color="auto"/>
              <w:right w:val="single" w:sz="6" w:space="0" w:color="auto"/>
            </w:tcBorders>
          </w:tcPr>
          <w:p w14:paraId="6BC58129"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2F8EBEC"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normaltextrun"/>
                <w:rFonts w:ascii="Calibri" w:hAnsi="Calibri" w:cs="Calibri"/>
                <w:b/>
                <w:bCs/>
                <w:sz w:val="22"/>
                <w:szCs w:val="22"/>
                <w:u w:val="single"/>
              </w:rPr>
              <w:t>Implementation </w:t>
            </w:r>
            <w:r>
              <w:rPr>
                <w:rStyle w:val="eop"/>
                <w:rFonts w:ascii="Calibri" w:hAnsi="Calibri" w:cs="Calibri"/>
                <w:sz w:val="22"/>
                <w:szCs w:val="22"/>
              </w:rPr>
              <w:t> </w:t>
            </w:r>
          </w:p>
          <w:p w14:paraId="727F711B"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E2317BD"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Our </w:t>
            </w:r>
            <w:proofErr w:type="gramStart"/>
            <w:r>
              <w:rPr>
                <w:rStyle w:val="normaltextrun"/>
                <w:rFonts w:ascii="Calibri" w:hAnsi="Calibri" w:cs="Calibri"/>
                <w:sz w:val="22"/>
                <w:szCs w:val="22"/>
              </w:rPr>
              <w:t>Post-16</w:t>
            </w:r>
            <w:proofErr w:type="gramEnd"/>
            <w:r>
              <w:rPr>
                <w:rStyle w:val="normaltextrun"/>
                <w:rFonts w:ascii="Calibri" w:hAnsi="Calibri" w:cs="Calibri"/>
                <w:sz w:val="22"/>
                <w:szCs w:val="22"/>
              </w:rPr>
              <w:t xml:space="preserve"> provision promotes independence and ownership through a balance of taught sessions, target focus time and independent study time (2x taught, 1x BKSB – all at 50 minutes).</w:t>
            </w:r>
            <w:r>
              <w:rPr>
                <w:rStyle w:val="eop"/>
                <w:rFonts w:ascii="Calibri" w:hAnsi="Calibri" w:cs="Calibri"/>
                <w:sz w:val="22"/>
                <w:szCs w:val="22"/>
              </w:rPr>
              <w:t> </w:t>
            </w:r>
          </w:p>
          <w:p w14:paraId="43527C1C"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E701ED4"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Following the Functional Skills expectations, students are taught a range of skills in Speaking &amp; Listening, Reading and Writing, which reflect real life concepts. This is to prepare our students for after education and their chosen paths. Teachers demonstrate the skills required to work successfully within a given topic area during their core lesson. This is followed by skill practise with the support of staff to consolidate taught skills. Interventions are on offer for students who may require additional support within that topic area. </w:t>
            </w:r>
            <w:r>
              <w:rPr>
                <w:rStyle w:val="eop"/>
                <w:rFonts w:ascii="Calibri" w:hAnsi="Calibri" w:cs="Calibri"/>
                <w:sz w:val="22"/>
                <w:szCs w:val="22"/>
              </w:rPr>
              <w:t> </w:t>
            </w:r>
          </w:p>
          <w:p w14:paraId="3E5B90FE"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9D64247"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Post-16 uses the BKSB programme to target areas of need within Literacy. Each pupil completes topic assessments, with the outcome being targeted areas of study, on a personalised basis. This effectively encourages students to take ownership of their learning, whilst directing them specifically to a given skill that requires interventions. </w:t>
            </w:r>
            <w:r>
              <w:rPr>
                <w:rStyle w:val="eop"/>
                <w:rFonts w:ascii="Calibri" w:hAnsi="Calibri" w:cs="Calibri"/>
                <w:sz w:val="22"/>
                <w:szCs w:val="22"/>
              </w:rPr>
              <w:t> </w:t>
            </w:r>
          </w:p>
          <w:p w14:paraId="0BB98E1D"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eop"/>
                <w:rFonts w:ascii="Calibri" w:hAnsi="Calibri" w:cs="Calibri"/>
                <w:sz w:val="22"/>
                <w:szCs w:val="22"/>
              </w:rPr>
              <w:t> </w:t>
            </w:r>
          </w:p>
          <w:p w14:paraId="688DACB9" w14:textId="77777777" w:rsidR="00867994" w:rsidRDefault="00867994" w:rsidP="00C457CC">
            <w:pPr>
              <w:pStyle w:val="paragraph"/>
              <w:spacing w:before="0" w:beforeAutospacing="0" w:after="0" w:afterAutospacing="0"/>
              <w:ind w:left="315" w:hanging="315"/>
              <w:jc w:val="both"/>
              <w:textAlignment w:val="baseline"/>
              <w:rPr>
                <w:rFonts w:ascii="Segoe UI" w:hAnsi="Segoe UI" w:cs="Segoe UI"/>
                <w:sz w:val="18"/>
                <w:szCs w:val="18"/>
              </w:rPr>
            </w:pPr>
            <w:r>
              <w:rPr>
                <w:rStyle w:val="normaltextrun"/>
                <w:rFonts w:ascii="Calibri" w:hAnsi="Calibri" w:cs="Calibri"/>
                <w:b/>
                <w:bCs/>
                <w:sz w:val="22"/>
                <w:szCs w:val="22"/>
                <w:u w:val="single"/>
              </w:rPr>
              <w:t>Assessment &amp; Qualifications </w:t>
            </w:r>
            <w:r>
              <w:rPr>
                <w:rStyle w:val="eop"/>
                <w:rFonts w:ascii="Calibri" w:hAnsi="Calibri" w:cs="Calibri"/>
                <w:sz w:val="22"/>
                <w:szCs w:val="22"/>
              </w:rPr>
              <w:t> </w:t>
            </w:r>
          </w:p>
          <w:p w14:paraId="1E282C45"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6371E99"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Our </w:t>
            </w:r>
            <w:proofErr w:type="gramStart"/>
            <w:r>
              <w:rPr>
                <w:rStyle w:val="normaltextrun"/>
                <w:rFonts w:ascii="Calibri" w:hAnsi="Calibri" w:cs="Calibri"/>
                <w:sz w:val="22"/>
                <w:szCs w:val="22"/>
              </w:rPr>
              <w:t>Post-16</w:t>
            </w:r>
            <w:proofErr w:type="gramEnd"/>
            <w:r>
              <w:rPr>
                <w:rStyle w:val="normaltextrun"/>
                <w:rFonts w:ascii="Calibri" w:hAnsi="Calibri" w:cs="Calibri"/>
                <w:sz w:val="22"/>
                <w:szCs w:val="22"/>
              </w:rPr>
              <w:t xml:space="preserve"> provision provides a range of assessment to ensure our students’ needs are met and to ensure an accurate level of achievement at the end of the given course. Assessments vary from teacher assessment, assessment through BKSB and annual testing as part of our functional skills qualifications.  </w:t>
            </w:r>
            <w:r>
              <w:rPr>
                <w:rStyle w:val="eop"/>
                <w:rFonts w:ascii="Calibri" w:hAnsi="Calibri" w:cs="Calibri"/>
                <w:sz w:val="22"/>
                <w:szCs w:val="22"/>
              </w:rPr>
              <w:t> </w:t>
            </w:r>
          </w:p>
          <w:p w14:paraId="0B9D8AA8"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5DD15EA"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The qualifications that are offered at our </w:t>
            </w:r>
            <w:proofErr w:type="gramStart"/>
            <w:r>
              <w:rPr>
                <w:rStyle w:val="normaltextrun"/>
                <w:rFonts w:ascii="Calibri" w:hAnsi="Calibri" w:cs="Calibri"/>
                <w:sz w:val="22"/>
                <w:szCs w:val="22"/>
              </w:rPr>
              <w:t>Post-16</w:t>
            </w:r>
            <w:proofErr w:type="gramEnd"/>
            <w:r>
              <w:rPr>
                <w:rStyle w:val="normaltextrun"/>
                <w:rFonts w:ascii="Calibri" w:hAnsi="Calibri" w:cs="Calibri"/>
                <w:sz w:val="22"/>
                <w:szCs w:val="22"/>
              </w:rPr>
              <w:t xml:space="preserve"> provision, are as followed:</w:t>
            </w:r>
            <w:r>
              <w:rPr>
                <w:rStyle w:val="eop"/>
                <w:rFonts w:ascii="Calibri" w:hAnsi="Calibri" w:cs="Calibri"/>
                <w:sz w:val="22"/>
                <w:szCs w:val="22"/>
              </w:rPr>
              <w:t> </w:t>
            </w:r>
          </w:p>
          <w:p w14:paraId="7D9E8566" w14:textId="77777777" w:rsidR="00867994" w:rsidRDefault="00867994" w:rsidP="00C457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5"/>
            </w:tblGrid>
            <w:tr w:rsidR="00867994" w14:paraId="0CCEFCA9" w14:textId="77777777">
              <w:trPr>
                <w:trHeight w:val="300"/>
              </w:trPr>
              <w:tc>
                <w:tcPr>
                  <w:tcW w:w="7125" w:type="dxa"/>
                  <w:tcBorders>
                    <w:top w:val="single" w:sz="6" w:space="0" w:color="auto"/>
                    <w:left w:val="single" w:sz="6" w:space="0" w:color="auto"/>
                    <w:bottom w:val="single" w:sz="6" w:space="0" w:color="auto"/>
                    <w:right w:val="single" w:sz="6" w:space="0" w:color="auto"/>
                  </w:tcBorders>
                  <w:hideMark/>
                </w:tcPr>
                <w:p w14:paraId="4570A0A0" w14:textId="77777777" w:rsidR="00867994" w:rsidRDefault="00867994" w:rsidP="00C457CC">
                  <w:pPr>
                    <w:pStyle w:val="paragraph"/>
                    <w:spacing w:before="0" w:beforeAutospacing="0" w:after="0" w:afterAutospacing="0"/>
                    <w:jc w:val="both"/>
                    <w:textAlignment w:val="baseline"/>
                  </w:pPr>
                  <w:r>
                    <w:rPr>
                      <w:rStyle w:val="normaltextrun"/>
                      <w:rFonts w:ascii="Calibri" w:hAnsi="Calibri" w:cs="Calibri"/>
                      <w:b/>
                      <w:bCs/>
                      <w:sz w:val="22"/>
                      <w:szCs w:val="22"/>
                    </w:rPr>
                    <w:t>Qualification</w:t>
                  </w:r>
                  <w:r>
                    <w:rPr>
                      <w:rStyle w:val="eop"/>
                      <w:rFonts w:ascii="Calibri" w:hAnsi="Calibri" w:cs="Calibri"/>
                      <w:sz w:val="22"/>
                      <w:szCs w:val="22"/>
                    </w:rPr>
                    <w:t> </w:t>
                  </w:r>
                </w:p>
              </w:tc>
            </w:tr>
            <w:tr w:rsidR="00867994" w14:paraId="7EA0701F" w14:textId="77777777">
              <w:trPr>
                <w:trHeight w:val="300"/>
              </w:trPr>
              <w:tc>
                <w:tcPr>
                  <w:tcW w:w="7125" w:type="dxa"/>
                  <w:tcBorders>
                    <w:top w:val="single" w:sz="6" w:space="0" w:color="auto"/>
                    <w:left w:val="single" w:sz="6" w:space="0" w:color="auto"/>
                    <w:bottom w:val="single" w:sz="6" w:space="0" w:color="auto"/>
                    <w:right w:val="single" w:sz="6" w:space="0" w:color="auto"/>
                  </w:tcBorders>
                  <w:hideMark/>
                </w:tcPr>
                <w:p w14:paraId="7BBF8D66" w14:textId="77777777" w:rsidR="00867994" w:rsidRDefault="00867994" w:rsidP="00C457CC">
                  <w:pPr>
                    <w:pStyle w:val="paragraph"/>
                    <w:spacing w:before="0" w:beforeAutospacing="0" w:after="0" w:afterAutospacing="0"/>
                    <w:jc w:val="both"/>
                    <w:textAlignment w:val="baseline"/>
                  </w:pPr>
                  <w:r>
                    <w:rPr>
                      <w:rStyle w:val="normaltextrun"/>
                      <w:rFonts w:ascii="Tahoma" w:hAnsi="Tahoma" w:cs="Tahoma"/>
                      <w:i/>
                      <w:iCs/>
                      <w:sz w:val="20"/>
                      <w:szCs w:val="20"/>
                    </w:rPr>
                    <w:t>AQA Unit Awards / ELC Silver Step</w:t>
                  </w:r>
                  <w:r>
                    <w:rPr>
                      <w:rStyle w:val="eop"/>
                      <w:sz w:val="20"/>
                      <w:szCs w:val="20"/>
                    </w:rPr>
                    <w:t> </w:t>
                  </w:r>
                </w:p>
              </w:tc>
            </w:tr>
            <w:tr w:rsidR="00867994" w14:paraId="7CB65319" w14:textId="77777777">
              <w:trPr>
                <w:trHeight w:val="300"/>
              </w:trPr>
              <w:tc>
                <w:tcPr>
                  <w:tcW w:w="7125" w:type="dxa"/>
                  <w:tcBorders>
                    <w:top w:val="single" w:sz="6" w:space="0" w:color="auto"/>
                    <w:left w:val="single" w:sz="6" w:space="0" w:color="auto"/>
                    <w:bottom w:val="single" w:sz="6" w:space="0" w:color="auto"/>
                    <w:right w:val="single" w:sz="6" w:space="0" w:color="auto"/>
                  </w:tcBorders>
                  <w:hideMark/>
                </w:tcPr>
                <w:p w14:paraId="6BFA4F05" w14:textId="77777777" w:rsidR="00867994" w:rsidRDefault="00867994" w:rsidP="00C457CC">
                  <w:pPr>
                    <w:pStyle w:val="paragraph"/>
                    <w:spacing w:before="0" w:beforeAutospacing="0" w:after="0" w:afterAutospacing="0"/>
                    <w:jc w:val="both"/>
                    <w:textAlignment w:val="baseline"/>
                  </w:pPr>
                  <w:r>
                    <w:rPr>
                      <w:rStyle w:val="normaltextrun"/>
                      <w:rFonts w:ascii="Tahoma" w:hAnsi="Tahoma" w:cs="Tahoma"/>
                      <w:i/>
                      <w:iCs/>
                      <w:sz w:val="20"/>
                      <w:szCs w:val="20"/>
                    </w:rPr>
                    <w:t>AQA ELC Gold Step</w:t>
                  </w:r>
                  <w:r>
                    <w:rPr>
                      <w:rStyle w:val="eop"/>
                      <w:sz w:val="20"/>
                      <w:szCs w:val="20"/>
                    </w:rPr>
                    <w:t> </w:t>
                  </w:r>
                </w:p>
              </w:tc>
            </w:tr>
            <w:tr w:rsidR="00867994" w14:paraId="5C913752" w14:textId="77777777">
              <w:trPr>
                <w:trHeight w:val="300"/>
              </w:trPr>
              <w:tc>
                <w:tcPr>
                  <w:tcW w:w="7125" w:type="dxa"/>
                  <w:tcBorders>
                    <w:top w:val="single" w:sz="6" w:space="0" w:color="auto"/>
                    <w:left w:val="single" w:sz="6" w:space="0" w:color="auto"/>
                    <w:bottom w:val="single" w:sz="6" w:space="0" w:color="auto"/>
                    <w:right w:val="single" w:sz="6" w:space="0" w:color="auto"/>
                  </w:tcBorders>
                  <w:hideMark/>
                </w:tcPr>
                <w:p w14:paraId="799ECFA7" w14:textId="77777777" w:rsidR="00867994" w:rsidRDefault="00867994" w:rsidP="00C457CC">
                  <w:pPr>
                    <w:pStyle w:val="paragraph"/>
                    <w:spacing w:before="0" w:beforeAutospacing="0" w:after="0" w:afterAutospacing="0"/>
                    <w:jc w:val="both"/>
                    <w:textAlignment w:val="baseline"/>
                  </w:pPr>
                  <w:r>
                    <w:rPr>
                      <w:rStyle w:val="normaltextrun"/>
                      <w:rFonts w:ascii="Tahoma" w:hAnsi="Tahoma" w:cs="Tahoma"/>
                      <w:i/>
                      <w:iCs/>
                      <w:sz w:val="20"/>
                      <w:szCs w:val="20"/>
                    </w:rPr>
                    <w:t>AQA GCSE (when applicable) </w:t>
                  </w:r>
                  <w:r>
                    <w:rPr>
                      <w:rStyle w:val="eop"/>
                      <w:sz w:val="20"/>
                      <w:szCs w:val="20"/>
                    </w:rPr>
                    <w:t> </w:t>
                  </w:r>
                </w:p>
              </w:tc>
            </w:tr>
          </w:tbl>
          <w:p w14:paraId="77BC93DB" w14:textId="4A043628" w:rsidR="00867994" w:rsidRPr="0021017D" w:rsidRDefault="00867994" w:rsidP="00C457CC">
            <w:pPr>
              <w:pStyle w:val="ListParagraph"/>
              <w:ind w:left="0"/>
              <w:jc w:val="both"/>
            </w:pPr>
            <w:r>
              <w:rPr>
                <w:rStyle w:val="eop"/>
                <w:rFonts w:ascii="Calibri" w:hAnsi="Calibri" w:cs="Calibri"/>
              </w:rPr>
              <w:t> </w:t>
            </w:r>
          </w:p>
        </w:tc>
      </w:tr>
    </w:tbl>
    <w:p w14:paraId="36A1E1F5" w14:textId="77777777" w:rsidR="000B61CD" w:rsidRDefault="000B61CD" w:rsidP="00C457CC">
      <w:pPr>
        <w:jc w:val="both"/>
        <w:rPr>
          <w:b/>
        </w:rPr>
      </w:pPr>
      <w:r>
        <w:rPr>
          <w:b/>
        </w:rPr>
        <w:lastRenderedPageBreak/>
        <w:br w:type="page"/>
      </w:r>
    </w:p>
    <w:p w14:paraId="7B66436D" w14:textId="77777777" w:rsidR="00847CED" w:rsidRDefault="00847CED" w:rsidP="00C457CC">
      <w:pPr>
        <w:jc w:val="both"/>
      </w:pPr>
    </w:p>
    <w:tbl>
      <w:tblPr>
        <w:tblStyle w:val="TableGrid"/>
        <w:tblW w:w="0" w:type="auto"/>
        <w:tblLook w:val="04A0" w:firstRow="1" w:lastRow="0" w:firstColumn="1" w:lastColumn="0" w:noHBand="0" w:noVBand="1"/>
      </w:tblPr>
      <w:tblGrid>
        <w:gridCol w:w="4137"/>
        <w:gridCol w:w="395"/>
        <w:gridCol w:w="4143"/>
        <w:gridCol w:w="341"/>
      </w:tblGrid>
      <w:tr w:rsidR="00847CED" w:rsidRPr="003F7118" w14:paraId="2C8CA4BE" w14:textId="77777777" w:rsidTr="003F7118">
        <w:tc>
          <w:tcPr>
            <w:tcW w:w="9016" w:type="dxa"/>
            <w:gridSpan w:val="4"/>
            <w:shd w:val="clear" w:color="auto" w:fill="C6D9F1" w:themeFill="text2" w:themeFillTint="33"/>
          </w:tcPr>
          <w:p w14:paraId="1D359B1F" w14:textId="15BDD9D0" w:rsidR="00847CED" w:rsidRPr="003F7118" w:rsidRDefault="00847CED" w:rsidP="00C457CC">
            <w:pPr>
              <w:jc w:val="both"/>
              <w:rPr>
                <w:b/>
              </w:rPr>
            </w:pPr>
            <w:r w:rsidRPr="003F7118">
              <w:rPr>
                <w:b/>
              </w:rPr>
              <w:t>Contents Checklist (Local S</w:t>
            </w:r>
            <w:r w:rsidR="00CA15C8" w:rsidRPr="003F7118">
              <w:rPr>
                <w:b/>
              </w:rPr>
              <w:t>ervice</w:t>
            </w:r>
            <w:r w:rsidRPr="003F7118">
              <w:rPr>
                <w:b/>
              </w:rPr>
              <w:t>s may add additional items – this is a core list)</w:t>
            </w:r>
          </w:p>
        </w:tc>
      </w:tr>
      <w:tr w:rsidR="00784DBC" w:rsidRPr="003F7118" w14:paraId="163D96B9" w14:textId="77777777" w:rsidTr="003F7118">
        <w:tc>
          <w:tcPr>
            <w:tcW w:w="4137" w:type="dxa"/>
          </w:tcPr>
          <w:p w14:paraId="2A98D482" w14:textId="3A127D29" w:rsidR="00F21E60" w:rsidRPr="003F7118" w:rsidRDefault="003863AB" w:rsidP="00C457CC">
            <w:pPr>
              <w:jc w:val="both"/>
              <w:rPr>
                <w:bCs/>
              </w:rPr>
            </w:pPr>
            <w:r w:rsidRPr="003F7118">
              <w:rPr>
                <w:bCs/>
              </w:rPr>
              <w:t>Rationale underpinning the curriculum</w:t>
            </w:r>
            <w:r w:rsidR="008B35B0" w:rsidRPr="003F7118">
              <w:rPr>
                <w:bCs/>
              </w:rPr>
              <w:t xml:space="preserve"> – </w:t>
            </w:r>
            <w:r w:rsidR="004B3015">
              <w:rPr>
                <w:bCs/>
              </w:rPr>
              <w:t>design</w:t>
            </w:r>
            <w:r w:rsidR="008B35B0" w:rsidRPr="003F7118">
              <w:rPr>
                <w:bCs/>
              </w:rPr>
              <w:t xml:space="preserve">, </w:t>
            </w:r>
            <w:r w:rsidR="003C4263">
              <w:rPr>
                <w:bCs/>
              </w:rPr>
              <w:t>delivery and i</w:t>
            </w:r>
            <w:r w:rsidR="008B35B0" w:rsidRPr="003F7118">
              <w:rPr>
                <w:bCs/>
              </w:rPr>
              <w:t>mpact</w:t>
            </w:r>
          </w:p>
        </w:tc>
        <w:tc>
          <w:tcPr>
            <w:tcW w:w="395" w:type="dxa"/>
          </w:tcPr>
          <w:p w14:paraId="441D3DA4" w14:textId="12BC2863" w:rsidR="00847CED" w:rsidRPr="003F7118" w:rsidRDefault="00677ABE" w:rsidP="00C457CC">
            <w:pPr>
              <w:jc w:val="both"/>
              <w:rPr>
                <w:bCs/>
              </w:rPr>
            </w:pPr>
            <w:r>
              <w:rPr>
                <w:bCs/>
              </w:rPr>
              <w:t>x</w:t>
            </w:r>
          </w:p>
        </w:tc>
        <w:tc>
          <w:tcPr>
            <w:tcW w:w="4143" w:type="dxa"/>
          </w:tcPr>
          <w:p w14:paraId="30D2A22F" w14:textId="511E679E" w:rsidR="002E7BC7" w:rsidRPr="003F7118" w:rsidRDefault="002E7BC7" w:rsidP="00C457CC">
            <w:pPr>
              <w:jc w:val="both"/>
              <w:rPr>
                <w:bCs/>
              </w:rPr>
            </w:pPr>
          </w:p>
        </w:tc>
        <w:tc>
          <w:tcPr>
            <w:tcW w:w="341" w:type="dxa"/>
          </w:tcPr>
          <w:p w14:paraId="1BA4A43E" w14:textId="77777777" w:rsidR="00847CED" w:rsidRPr="003F7118" w:rsidRDefault="00847CED" w:rsidP="00C457CC">
            <w:pPr>
              <w:jc w:val="both"/>
              <w:rPr>
                <w:bCs/>
              </w:rPr>
            </w:pPr>
          </w:p>
        </w:tc>
      </w:tr>
      <w:tr w:rsidR="003F7118" w:rsidRPr="003F7118" w14:paraId="27C1867C" w14:textId="77777777" w:rsidTr="003F7118">
        <w:tc>
          <w:tcPr>
            <w:tcW w:w="4137" w:type="dxa"/>
          </w:tcPr>
          <w:p w14:paraId="7C7B7749" w14:textId="2D390B65" w:rsidR="003F7118" w:rsidRPr="003F7118" w:rsidRDefault="003F7118" w:rsidP="00C457CC">
            <w:pPr>
              <w:jc w:val="both"/>
              <w:rPr>
                <w:bCs/>
              </w:rPr>
            </w:pPr>
            <w:r w:rsidRPr="003F7118">
              <w:rPr>
                <w:bCs/>
              </w:rPr>
              <w:t>Reference the ISS</w:t>
            </w:r>
          </w:p>
        </w:tc>
        <w:tc>
          <w:tcPr>
            <w:tcW w:w="395" w:type="dxa"/>
          </w:tcPr>
          <w:p w14:paraId="279C2B20" w14:textId="57660766" w:rsidR="003F7118" w:rsidRPr="003F7118" w:rsidRDefault="00677ABE" w:rsidP="00C457CC">
            <w:pPr>
              <w:jc w:val="both"/>
              <w:rPr>
                <w:bCs/>
              </w:rPr>
            </w:pPr>
            <w:r>
              <w:rPr>
                <w:bCs/>
              </w:rPr>
              <w:t>x</w:t>
            </w:r>
          </w:p>
        </w:tc>
        <w:tc>
          <w:tcPr>
            <w:tcW w:w="4143" w:type="dxa"/>
          </w:tcPr>
          <w:p w14:paraId="2D2F2AFD" w14:textId="741E9CA9" w:rsidR="003F7118" w:rsidRPr="003F7118" w:rsidRDefault="003F7118" w:rsidP="00C457CC">
            <w:pPr>
              <w:jc w:val="both"/>
              <w:rPr>
                <w:bCs/>
              </w:rPr>
            </w:pPr>
          </w:p>
        </w:tc>
        <w:tc>
          <w:tcPr>
            <w:tcW w:w="341" w:type="dxa"/>
          </w:tcPr>
          <w:p w14:paraId="059106E1" w14:textId="77777777" w:rsidR="003F7118" w:rsidRPr="003F7118" w:rsidRDefault="003F7118" w:rsidP="00C457CC">
            <w:pPr>
              <w:jc w:val="both"/>
              <w:rPr>
                <w:bCs/>
              </w:rPr>
            </w:pPr>
          </w:p>
        </w:tc>
      </w:tr>
      <w:tr w:rsidR="003F7118" w:rsidRPr="003F7118" w14:paraId="531A4082" w14:textId="77777777" w:rsidTr="003F7118">
        <w:tc>
          <w:tcPr>
            <w:tcW w:w="4137" w:type="dxa"/>
          </w:tcPr>
          <w:p w14:paraId="71B23BC7" w14:textId="5316E84C" w:rsidR="003F7118" w:rsidRPr="003F7118" w:rsidRDefault="003F7118" w:rsidP="00C457CC">
            <w:pPr>
              <w:jc w:val="both"/>
              <w:rPr>
                <w:bCs/>
              </w:rPr>
            </w:pPr>
            <w:r w:rsidRPr="003F7118">
              <w:rPr>
                <w:bCs/>
              </w:rPr>
              <w:t>Purpose and Scope, Aims and Vision of the curriculum</w:t>
            </w:r>
          </w:p>
        </w:tc>
        <w:tc>
          <w:tcPr>
            <w:tcW w:w="395" w:type="dxa"/>
          </w:tcPr>
          <w:p w14:paraId="5DAC3FD8" w14:textId="0036BF0E" w:rsidR="003F7118" w:rsidRPr="003F7118" w:rsidRDefault="00677ABE" w:rsidP="00C457CC">
            <w:pPr>
              <w:jc w:val="both"/>
              <w:rPr>
                <w:bCs/>
              </w:rPr>
            </w:pPr>
            <w:r>
              <w:rPr>
                <w:bCs/>
              </w:rPr>
              <w:t>x</w:t>
            </w:r>
          </w:p>
        </w:tc>
        <w:tc>
          <w:tcPr>
            <w:tcW w:w="4143" w:type="dxa"/>
          </w:tcPr>
          <w:p w14:paraId="341A39BB" w14:textId="556CE66C" w:rsidR="003F7118" w:rsidRPr="003F7118" w:rsidRDefault="003F7118" w:rsidP="00C457CC">
            <w:pPr>
              <w:jc w:val="both"/>
              <w:rPr>
                <w:bCs/>
              </w:rPr>
            </w:pPr>
          </w:p>
        </w:tc>
        <w:tc>
          <w:tcPr>
            <w:tcW w:w="341" w:type="dxa"/>
          </w:tcPr>
          <w:p w14:paraId="6D2582DD" w14:textId="77777777" w:rsidR="003F7118" w:rsidRPr="003F7118" w:rsidRDefault="003F7118" w:rsidP="00C457CC">
            <w:pPr>
              <w:jc w:val="both"/>
              <w:rPr>
                <w:bCs/>
              </w:rPr>
            </w:pPr>
          </w:p>
        </w:tc>
      </w:tr>
      <w:tr w:rsidR="00784DBC" w:rsidRPr="003F7118" w14:paraId="38BE961C" w14:textId="77777777" w:rsidTr="003F7118">
        <w:tc>
          <w:tcPr>
            <w:tcW w:w="4137" w:type="dxa"/>
          </w:tcPr>
          <w:p w14:paraId="53CBF386" w14:textId="535D9F31" w:rsidR="00847CED" w:rsidRPr="003F7118" w:rsidRDefault="00F21E60" w:rsidP="00C457CC">
            <w:pPr>
              <w:jc w:val="both"/>
              <w:rPr>
                <w:bCs/>
              </w:rPr>
            </w:pPr>
            <w:r w:rsidRPr="003F7118">
              <w:rPr>
                <w:bCs/>
              </w:rPr>
              <w:t>Local Context</w:t>
            </w:r>
          </w:p>
        </w:tc>
        <w:tc>
          <w:tcPr>
            <w:tcW w:w="395" w:type="dxa"/>
          </w:tcPr>
          <w:p w14:paraId="524A3DFC" w14:textId="4F4C3E3F" w:rsidR="00847CED" w:rsidRPr="003F7118" w:rsidRDefault="00677ABE" w:rsidP="00C457CC">
            <w:pPr>
              <w:jc w:val="both"/>
              <w:rPr>
                <w:bCs/>
              </w:rPr>
            </w:pPr>
            <w:r>
              <w:rPr>
                <w:bCs/>
              </w:rPr>
              <w:t>x</w:t>
            </w:r>
          </w:p>
        </w:tc>
        <w:tc>
          <w:tcPr>
            <w:tcW w:w="4143" w:type="dxa"/>
          </w:tcPr>
          <w:p w14:paraId="0538D261" w14:textId="4DD08DC8" w:rsidR="00847CED" w:rsidRPr="003F7118" w:rsidRDefault="00847CED" w:rsidP="00C457CC">
            <w:pPr>
              <w:jc w:val="both"/>
              <w:rPr>
                <w:bCs/>
              </w:rPr>
            </w:pPr>
          </w:p>
        </w:tc>
        <w:tc>
          <w:tcPr>
            <w:tcW w:w="341" w:type="dxa"/>
          </w:tcPr>
          <w:p w14:paraId="6FEB80F1" w14:textId="77777777" w:rsidR="00847CED" w:rsidRPr="003F7118" w:rsidRDefault="00847CED" w:rsidP="00C457CC">
            <w:pPr>
              <w:jc w:val="both"/>
              <w:rPr>
                <w:bCs/>
              </w:rPr>
            </w:pPr>
          </w:p>
        </w:tc>
      </w:tr>
      <w:tr w:rsidR="00784DBC" w:rsidRPr="003F7118" w14:paraId="4D3063E4" w14:textId="77777777" w:rsidTr="003F7118">
        <w:tc>
          <w:tcPr>
            <w:tcW w:w="4137" w:type="dxa"/>
          </w:tcPr>
          <w:p w14:paraId="0291940E" w14:textId="3FEBE7CC" w:rsidR="00847CED" w:rsidRPr="003F7118" w:rsidRDefault="003863AB" w:rsidP="00C457CC">
            <w:pPr>
              <w:jc w:val="both"/>
              <w:rPr>
                <w:bCs/>
              </w:rPr>
            </w:pPr>
            <w:r w:rsidRPr="003F7118">
              <w:rPr>
                <w:bCs/>
              </w:rPr>
              <w:t>Reference qualifications and outcomes supported by the curriculum</w:t>
            </w:r>
          </w:p>
        </w:tc>
        <w:tc>
          <w:tcPr>
            <w:tcW w:w="395" w:type="dxa"/>
          </w:tcPr>
          <w:p w14:paraId="25E9956F" w14:textId="3AFCDFA3" w:rsidR="00847CED" w:rsidRPr="003F7118" w:rsidRDefault="00677ABE" w:rsidP="00C457CC">
            <w:pPr>
              <w:jc w:val="both"/>
              <w:rPr>
                <w:bCs/>
              </w:rPr>
            </w:pPr>
            <w:r>
              <w:rPr>
                <w:bCs/>
              </w:rPr>
              <w:t>x</w:t>
            </w:r>
          </w:p>
        </w:tc>
        <w:tc>
          <w:tcPr>
            <w:tcW w:w="4143" w:type="dxa"/>
          </w:tcPr>
          <w:p w14:paraId="0D168D95" w14:textId="1A35E75A" w:rsidR="00847CED" w:rsidRPr="003F7118" w:rsidRDefault="00847CED" w:rsidP="00C457CC">
            <w:pPr>
              <w:jc w:val="both"/>
              <w:rPr>
                <w:bCs/>
              </w:rPr>
            </w:pPr>
          </w:p>
        </w:tc>
        <w:tc>
          <w:tcPr>
            <w:tcW w:w="341" w:type="dxa"/>
          </w:tcPr>
          <w:p w14:paraId="354257D5" w14:textId="77777777" w:rsidR="00847CED" w:rsidRPr="003F7118" w:rsidRDefault="00847CED" w:rsidP="00C457CC">
            <w:pPr>
              <w:jc w:val="both"/>
              <w:rPr>
                <w:bCs/>
              </w:rPr>
            </w:pPr>
          </w:p>
        </w:tc>
      </w:tr>
      <w:tr w:rsidR="00784DBC" w:rsidRPr="003F7118" w14:paraId="5370F743" w14:textId="77777777" w:rsidTr="003F7118">
        <w:tc>
          <w:tcPr>
            <w:tcW w:w="4137" w:type="dxa"/>
          </w:tcPr>
          <w:p w14:paraId="5474EFAD" w14:textId="2209F9B0" w:rsidR="00847CED" w:rsidRPr="003F7118" w:rsidRDefault="00E65D9B" w:rsidP="00C457CC">
            <w:pPr>
              <w:jc w:val="both"/>
              <w:rPr>
                <w:bCs/>
              </w:rPr>
            </w:pPr>
            <w:r w:rsidRPr="003F7118">
              <w:rPr>
                <w:bCs/>
              </w:rPr>
              <w:t xml:space="preserve">Curriculum </w:t>
            </w:r>
            <w:r w:rsidR="00784DBC" w:rsidRPr="003F7118">
              <w:rPr>
                <w:bCs/>
              </w:rPr>
              <w:t>Structure</w:t>
            </w:r>
          </w:p>
        </w:tc>
        <w:tc>
          <w:tcPr>
            <w:tcW w:w="395" w:type="dxa"/>
          </w:tcPr>
          <w:p w14:paraId="251BB57D" w14:textId="121C55E5" w:rsidR="00847CED" w:rsidRPr="003F7118" w:rsidRDefault="00677ABE" w:rsidP="00C457CC">
            <w:pPr>
              <w:jc w:val="both"/>
              <w:rPr>
                <w:bCs/>
              </w:rPr>
            </w:pPr>
            <w:r>
              <w:rPr>
                <w:bCs/>
              </w:rPr>
              <w:t>x</w:t>
            </w:r>
          </w:p>
        </w:tc>
        <w:tc>
          <w:tcPr>
            <w:tcW w:w="4143" w:type="dxa"/>
          </w:tcPr>
          <w:p w14:paraId="330E36A1" w14:textId="20F92DD5" w:rsidR="00847CED" w:rsidRPr="003F7118" w:rsidRDefault="00847CED" w:rsidP="00C457CC">
            <w:pPr>
              <w:jc w:val="both"/>
              <w:rPr>
                <w:bCs/>
              </w:rPr>
            </w:pPr>
          </w:p>
        </w:tc>
        <w:tc>
          <w:tcPr>
            <w:tcW w:w="341" w:type="dxa"/>
          </w:tcPr>
          <w:p w14:paraId="43529D7F" w14:textId="77777777" w:rsidR="00847CED" w:rsidRPr="003F7118" w:rsidRDefault="00847CED" w:rsidP="00C457CC">
            <w:pPr>
              <w:jc w:val="both"/>
              <w:rPr>
                <w:bCs/>
              </w:rPr>
            </w:pPr>
          </w:p>
        </w:tc>
      </w:tr>
      <w:tr w:rsidR="00784DBC" w:rsidRPr="003F7118" w14:paraId="1AE3F31C" w14:textId="77777777" w:rsidTr="003F7118">
        <w:tc>
          <w:tcPr>
            <w:tcW w:w="4137" w:type="dxa"/>
          </w:tcPr>
          <w:p w14:paraId="2FCAB549" w14:textId="578D276C" w:rsidR="00847CED" w:rsidRPr="003F7118" w:rsidRDefault="00784DBC" w:rsidP="00C457CC">
            <w:pPr>
              <w:jc w:val="both"/>
              <w:rPr>
                <w:bCs/>
              </w:rPr>
            </w:pPr>
            <w:r w:rsidRPr="003F7118">
              <w:rPr>
                <w:bCs/>
              </w:rPr>
              <w:t>Progression and Adaptations</w:t>
            </w:r>
          </w:p>
        </w:tc>
        <w:tc>
          <w:tcPr>
            <w:tcW w:w="395" w:type="dxa"/>
          </w:tcPr>
          <w:p w14:paraId="0E99733C" w14:textId="6417F853" w:rsidR="00847CED" w:rsidRPr="003F7118" w:rsidRDefault="00677ABE" w:rsidP="00C457CC">
            <w:pPr>
              <w:jc w:val="both"/>
              <w:rPr>
                <w:bCs/>
              </w:rPr>
            </w:pPr>
            <w:r>
              <w:rPr>
                <w:bCs/>
              </w:rPr>
              <w:t>x</w:t>
            </w:r>
          </w:p>
        </w:tc>
        <w:tc>
          <w:tcPr>
            <w:tcW w:w="4143" w:type="dxa"/>
          </w:tcPr>
          <w:p w14:paraId="2FE683BD" w14:textId="125FF875" w:rsidR="00847CED" w:rsidRPr="003F7118" w:rsidRDefault="00847CED" w:rsidP="00C457CC">
            <w:pPr>
              <w:jc w:val="both"/>
              <w:rPr>
                <w:bCs/>
              </w:rPr>
            </w:pPr>
          </w:p>
        </w:tc>
        <w:tc>
          <w:tcPr>
            <w:tcW w:w="341" w:type="dxa"/>
          </w:tcPr>
          <w:p w14:paraId="3958B351" w14:textId="77777777" w:rsidR="00847CED" w:rsidRPr="003F7118" w:rsidRDefault="00847CED" w:rsidP="00C457CC">
            <w:pPr>
              <w:jc w:val="both"/>
              <w:rPr>
                <w:bCs/>
              </w:rPr>
            </w:pPr>
          </w:p>
        </w:tc>
      </w:tr>
      <w:tr w:rsidR="00784DBC" w:rsidRPr="003F7118" w14:paraId="1C53FE63" w14:textId="77777777" w:rsidTr="003F7118">
        <w:tc>
          <w:tcPr>
            <w:tcW w:w="4137" w:type="dxa"/>
          </w:tcPr>
          <w:p w14:paraId="35F233FE" w14:textId="30302A25" w:rsidR="00847CED" w:rsidRPr="003F7118" w:rsidRDefault="009116DB" w:rsidP="00C457CC">
            <w:pPr>
              <w:jc w:val="both"/>
              <w:rPr>
                <w:bCs/>
              </w:rPr>
            </w:pPr>
            <w:r w:rsidRPr="003F7118">
              <w:rPr>
                <w:bCs/>
              </w:rPr>
              <w:t xml:space="preserve">Assessment </w:t>
            </w:r>
            <w:r w:rsidR="00DC1DFA">
              <w:rPr>
                <w:bCs/>
              </w:rPr>
              <w:t xml:space="preserve"> and tracking</w:t>
            </w:r>
          </w:p>
        </w:tc>
        <w:tc>
          <w:tcPr>
            <w:tcW w:w="395" w:type="dxa"/>
          </w:tcPr>
          <w:p w14:paraId="27C1614E" w14:textId="069E6298" w:rsidR="00847CED" w:rsidRPr="003F7118" w:rsidRDefault="00677ABE" w:rsidP="00C457CC">
            <w:pPr>
              <w:jc w:val="both"/>
              <w:rPr>
                <w:bCs/>
              </w:rPr>
            </w:pPr>
            <w:r>
              <w:rPr>
                <w:bCs/>
              </w:rPr>
              <w:t>x</w:t>
            </w:r>
          </w:p>
        </w:tc>
        <w:tc>
          <w:tcPr>
            <w:tcW w:w="4143" w:type="dxa"/>
          </w:tcPr>
          <w:p w14:paraId="40BEB27F" w14:textId="06CB5D33" w:rsidR="00847CED" w:rsidRPr="003F7118" w:rsidRDefault="00847CED" w:rsidP="00C457CC">
            <w:pPr>
              <w:jc w:val="both"/>
              <w:rPr>
                <w:bCs/>
              </w:rPr>
            </w:pPr>
          </w:p>
        </w:tc>
        <w:tc>
          <w:tcPr>
            <w:tcW w:w="341" w:type="dxa"/>
          </w:tcPr>
          <w:p w14:paraId="6ED27EB6" w14:textId="77777777" w:rsidR="00847CED" w:rsidRPr="003F7118" w:rsidRDefault="00847CED" w:rsidP="00C457CC">
            <w:pPr>
              <w:jc w:val="both"/>
              <w:rPr>
                <w:bCs/>
              </w:rPr>
            </w:pPr>
          </w:p>
        </w:tc>
      </w:tr>
      <w:tr w:rsidR="00784DBC" w:rsidRPr="003F7118" w14:paraId="6E47CFB0" w14:textId="77777777" w:rsidTr="003F7118">
        <w:tc>
          <w:tcPr>
            <w:tcW w:w="4137" w:type="dxa"/>
          </w:tcPr>
          <w:p w14:paraId="5D52CF97" w14:textId="691417C6" w:rsidR="00847CED" w:rsidRPr="003F7118" w:rsidRDefault="00A372C0" w:rsidP="00C457CC">
            <w:pPr>
              <w:jc w:val="both"/>
              <w:rPr>
                <w:bCs/>
              </w:rPr>
            </w:pPr>
            <w:r w:rsidRPr="003F7118">
              <w:rPr>
                <w:bCs/>
              </w:rPr>
              <w:t>Stakeholder Engagement</w:t>
            </w:r>
          </w:p>
        </w:tc>
        <w:tc>
          <w:tcPr>
            <w:tcW w:w="395" w:type="dxa"/>
          </w:tcPr>
          <w:p w14:paraId="4CF2B377" w14:textId="05391DEA" w:rsidR="00847CED" w:rsidRPr="003F7118" w:rsidRDefault="00677ABE" w:rsidP="00C457CC">
            <w:pPr>
              <w:jc w:val="both"/>
              <w:rPr>
                <w:bCs/>
              </w:rPr>
            </w:pPr>
            <w:r>
              <w:rPr>
                <w:bCs/>
              </w:rPr>
              <w:t>x</w:t>
            </w:r>
          </w:p>
        </w:tc>
        <w:tc>
          <w:tcPr>
            <w:tcW w:w="4143" w:type="dxa"/>
          </w:tcPr>
          <w:p w14:paraId="15DBAD61" w14:textId="42C325F3" w:rsidR="00847CED" w:rsidRPr="003F7118" w:rsidRDefault="00847CED" w:rsidP="00C457CC">
            <w:pPr>
              <w:jc w:val="both"/>
              <w:rPr>
                <w:bCs/>
              </w:rPr>
            </w:pPr>
          </w:p>
        </w:tc>
        <w:tc>
          <w:tcPr>
            <w:tcW w:w="341" w:type="dxa"/>
          </w:tcPr>
          <w:p w14:paraId="27973137" w14:textId="77777777" w:rsidR="00847CED" w:rsidRPr="003F7118" w:rsidRDefault="00847CED" w:rsidP="00C457CC">
            <w:pPr>
              <w:jc w:val="both"/>
              <w:rPr>
                <w:bCs/>
              </w:rPr>
            </w:pPr>
          </w:p>
        </w:tc>
      </w:tr>
      <w:tr w:rsidR="003F7118" w:rsidRPr="003F7118" w14:paraId="5625D62C" w14:textId="77777777" w:rsidTr="003F7118">
        <w:tc>
          <w:tcPr>
            <w:tcW w:w="4137" w:type="dxa"/>
          </w:tcPr>
          <w:p w14:paraId="324A07DA" w14:textId="3538B530" w:rsidR="003F7118" w:rsidRPr="003F7118" w:rsidRDefault="003F7118" w:rsidP="00C457CC">
            <w:pPr>
              <w:jc w:val="both"/>
              <w:rPr>
                <w:bCs/>
              </w:rPr>
            </w:pPr>
            <w:r w:rsidRPr="003F7118">
              <w:rPr>
                <w:bCs/>
              </w:rPr>
              <w:t>Reference qualifications and outcomes supported by the curriculum</w:t>
            </w:r>
          </w:p>
        </w:tc>
        <w:tc>
          <w:tcPr>
            <w:tcW w:w="395" w:type="dxa"/>
          </w:tcPr>
          <w:p w14:paraId="5D1C0518" w14:textId="7B3D526D" w:rsidR="003F7118" w:rsidRPr="003F7118" w:rsidRDefault="00677ABE" w:rsidP="00C457CC">
            <w:pPr>
              <w:jc w:val="both"/>
              <w:rPr>
                <w:bCs/>
              </w:rPr>
            </w:pPr>
            <w:r>
              <w:rPr>
                <w:bCs/>
              </w:rPr>
              <w:t>x</w:t>
            </w:r>
          </w:p>
        </w:tc>
        <w:tc>
          <w:tcPr>
            <w:tcW w:w="4143" w:type="dxa"/>
          </w:tcPr>
          <w:p w14:paraId="16FC4DD3" w14:textId="5393AC80" w:rsidR="003F7118" w:rsidRPr="003F7118" w:rsidRDefault="003F7118" w:rsidP="00C457CC">
            <w:pPr>
              <w:jc w:val="both"/>
              <w:rPr>
                <w:bCs/>
              </w:rPr>
            </w:pPr>
          </w:p>
        </w:tc>
        <w:tc>
          <w:tcPr>
            <w:tcW w:w="341" w:type="dxa"/>
          </w:tcPr>
          <w:p w14:paraId="684264E7" w14:textId="77777777" w:rsidR="003F7118" w:rsidRPr="003F7118" w:rsidRDefault="003F7118" w:rsidP="00C457CC">
            <w:pPr>
              <w:jc w:val="both"/>
              <w:rPr>
                <w:bCs/>
              </w:rPr>
            </w:pPr>
          </w:p>
        </w:tc>
      </w:tr>
      <w:tr w:rsidR="003F7118" w:rsidRPr="003F7118" w14:paraId="2D7C03B2" w14:textId="77777777" w:rsidTr="003F7118">
        <w:tc>
          <w:tcPr>
            <w:tcW w:w="4137" w:type="dxa"/>
          </w:tcPr>
          <w:p w14:paraId="54CC6C2E" w14:textId="6FD8A673" w:rsidR="003F7118" w:rsidRPr="003F7118" w:rsidRDefault="006004AA" w:rsidP="00C457CC">
            <w:pPr>
              <w:jc w:val="both"/>
              <w:rPr>
                <w:bCs/>
              </w:rPr>
            </w:pPr>
            <w:r>
              <w:rPr>
                <w:bCs/>
              </w:rPr>
              <w:t>Personal development</w:t>
            </w:r>
          </w:p>
        </w:tc>
        <w:tc>
          <w:tcPr>
            <w:tcW w:w="395" w:type="dxa"/>
          </w:tcPr>
          <w:p w14:paraId="415F0A83" w14:textId="7A90172E" w:rsidR="003F7118" w:rsidRPr="003F7118" w:rsidRDefault="00677ABE" w:rsidP="00C457CC">
            <w:pPr>
              <w:jc w:val="both"/>
              <w:rPr>
                <w:bCs/>
              </w:rPr>
            </w:pPr>
            <w:r>
              <w:rPr>
                <w:bCs/>
              </w:rPr>
              <w:t>x</w:t>
            </w:r>
          </w:p>
        </w:tc>
        <w:tc>
          <w:tcPr>
            <w:tcW w:w="4143" w:type="dxa"/>
          </w:tcPr>
          <w:p w14:paraId="76230958" w14:textId="0559E1C8" w:rsidR="003F7118" w:rsidRPr="003F7118" w:rsidRDefault="006004AA" w:rsidP="00C457CC">
            <w:pPr>
              <w:jc w:val="both"/>
              <w:rPr>
                <w:bCs/>
              </w:rPr>
            </w:pPr>
            <w:r>
              <w:rPr>
                <w:bCs/>
              </w:rPr>
              <w:t>Referenc</w:t>
            </w:r>
            <w:r w:rsidRPr="006004AA">
              <w:rPr>
                <w:bCs/>
              </w:rPr>
              <w:t xml:space="preserve">e how </w:t>
            </w:r>
            <w:r w:rsidRPr="0021316B">
              <w:t>PSHE, RSE, SMSC, British/Scottish values, wellbeing, and safeguarding</w:t>
            </w:r>
            <w:r w:rsidRPr="006004AA">
              <w:t xml:space="preserve"> are embedded</w:t>
            </w:r>
          </w:p>
        </w:tc>
        <w:tc>
          <w:tcPr>
            <w:tcW w:w="341" w:type="dxa"/>
          </w:tcPr>
          <w:p w14:paraId="392A794B" w14:textId="04D63C05" w:rsidR="003F7118" w:rsidRPr="003F7118" w:rsidRDefault="00677ABE" w:rsidP="00C457CC">
            <w:pPr>
              <w:jc w:val="both"/>
              <w:rPr>
                <w:bCs/>
              </w:rPr>
            </w:pPr>
            <w:r>
              <w:rPr>
                <w:bCs/>
              </w:rPr>
              <w:t>x</w:t>
            </w:r>
          </w:p>
        </w:tc>
      </w:tr>
      <w:tr w:rsidR="003F7118" w:rsidRPr="003F7118" w14:paraId="0F5ED5B1" w14:textId="77777777" w:rsidTr="003F7118">
        <w:tc>
          <w:tcPr>
            <w:tcW w:w="4137" w:type="dxa"/>
          </w:tcPr>
          <w:p w14:paraId="54E636A4" w14:textId="4438923C" w:rsidR="003F7118" w:rsidRPr="003F7118" w:rsidRDefault="003F7118" w:rsidP="00C457CC">
            <w:pPr>
              <w:jc w:val="both"/>
              <w:rPr>
                <w:bCs/>
              </w:rPr>
            </w:pPr>
            <w:r w:rsidRPr="003F7118">
              <w:rPr>
                <w:bCs/>
              </w:rPr>
              <w:t>Opportunities for work related learning, independent CIAG and reference to the Gatsby Benchmark</w:t>
            </w:r>
          </w:p>
        </w:tc>
        <w:tc>
          <w:tcPr>
            <w:tcW w:w="395" w:type="dxa"/>
          </w:tcPr>
          <w:p w14:paraId="1ECB0EB7" w14:textId="29C94C7B" w:rsidR="003F7118" w:rsidRPr="003F7118" w:rsidRDefault="00677ABE" w:rsidP="00C457CC">
            <w:pPr>
              <w:jc w:val="both"/>
              <w:rPr>
                <w:bCs/>
              </w:rPr>
            </w:pPr>
            <w:r>
              <w:rPr>
                <w:bCs/>
              </w:rPr>
              <w:t>x</w:t>
            </w:r>
          </w:p>
        </w:tc>
        <w:tc>
          <w:tcPr>
            <w:tcW w:w="4143" w:type="dxa"/>
          </w:tcPr>
          <w:p w14:paraId="6F0053DA" w14:textId="2F455601" w:rsidR="003F7118" w:rsidRPr="003F7118" w:rsidRDefault="003F7118" w:rsidP="00C457CC">
            <w:pPr>
              <w:jc w:val="both"/>
              <w:rPr>
                <w:bCs/>
              </w:rPr>
            </w:pPr>
          </w:p>
        </w:tc>
        <w:tc>
          <w:tcPr>
            <w:tcW w:w="341" w:type="dxa"/>
          </w:tcPr>
          <w:p w14:paraId="7A9DB612" w14:textId="77777777" w:rsidR="003F7118" w:rsidRPr="003F7118" w:rsidRDefault="003F7118" w:rsidP="00C457CC">
            <w:pPr>
              <w:jc w:val="both"/>
              <w:rPr>
                <w:bCs/>
              </w:rPr>
            </w:pPr>
          </w:p>
        </w:tc>
      </w:tr>
      <w:tr w:rsidR="003F7118" w:rsidRPr="003F7118" w14:paraId="1F71FE3D" w14:textId="77777777" w:rsidTr="003F7118">
        <w:tc>
          <w:tcPr>
            <w:tcW w:w="4137" w:type="dxa"/>
          </w:tcPr>
          <w:p w14:paraId="1758C864" w14:textId="42E0E3EA" w:rsidR="003F7118" w:rsidRPr="003F7118" w:rsidRDefault="003F7118" w:rsidP="00C457CC">
            <w:pPr>
              <w:jc w:val="both"/>
              <w:rPr>
                <w:bCs/>
              </w:rPr>
            </w:pPr>
            <w:r w:rsidRPr="003F7118">
              <w:rPr>
                <w:bCs/>
              </w:rPr>
              <w:t>The role of subject coordinators if this is applicable and how the curriculum is monitored</w:t>
            </w:r>
          </w:p>
        </w:tc>
        <w:tc>
          <w:tcPr>
            <w:tcW w:w="395" w:type="dxa"/>
          </w:tcPr>
          <w:p w14:paraId="440C6DD5" w14:textId="2A87DB29" w:rsidR="003F7118" w:rsidRPr="003F7118" w:rsidRDefault="00677ABE" w:rsidP="00C457CC">
            <w:pPr>
              <w:jc w:val="both"/>
              <w:rPr>
                <w:bCs/>
              </w:rPr>
            </w:pPr>
            <w:r>
              <w:rPr>
                <w:bCs/>
              </w:rPr>
              <w:t>x</w:t>
            </w:r>
          </w:p>
        </w:tc>
        <w:tc>
          <w:tcPr>
            <w:tcW w:w="4143" w:type="dxa"/>
          </w:tcPr>
          <w:p w14:paraId="2BDE657D" w14:textId="12012DDF" w:rsidR="003F7118" w:rsidRPr="003F7118" w:rsidRDefault="003F7118" w:rsidP="00C457CC">
            <w:pPr>
              <w:jc w:val="both"/>
              <w:rPr>
                <w:bCs/>
              </w:rPr>
            </w:pPr>
          </w:p>
        </w:tc>
        <w:tc>
          <w:tcPr>
            <w:tcW w:w="341" w:type="dxa"/>
          </w:tcPr>
          <w:p w14:paraId="0DE82F79" w14:textId="77777777" w:rsidR="003F7118" w:rsidRPr="003F7118" w:rsidRDefault="003F7118" w:rsidP="00C457CC">
            <w:pPr>
              <w:jc w:val="both"/>
              <w:rPr>
                <w:bCs/>
              </w:rPr>
            </w:pPr>
          </w:p>
        </w:tc>
      </w:tr>
      <w:tr w:rsidR="003F7118" w:rsidRPr="003F7118" w14:paraId="4989DF1E" w14:textId="77777777" w:rsidTr="003F7118">
        <w:tc>
          <w:tcPr>
            <w:tcW w:w="4137" w:type="dxa"/>
          </w:tcPr>
          <w:p w14:paraId="1849C876" w14:textId="5A5CE027" w:rsidR="003F7118" w:rsidRPr="003F7118" w:rsidRDefault="003F7118" w:rsidP="00C457CC">
            <w:pPr>
              <w:jc w:val="both"/>
              <w:rPr>
                <w:bCs/>
              </w:rPr>
            </w:pPr>
            <w:r w:rsidRPr="003F7118">
              <w:rPr>
                <w:bCs/>
              </w:rPr>
              <w:t>Wellbeing and safeguarding</w:t>
            </w:r>
          </w:p>
        </w:tc>
        <w:tc>
          <w:tcPr>
            <w:tcW w:w="395" w:type="dxa"/>
          </w:tcPr>
          <w:p w14:paraId="619C0A44" w14:textId="5C8FC75B" w:rsidR="003F7118" w:rsidRPr="003F7118" w:rsidRDefault="00F27F92" w:rsidP="00C457CC">
            <w:pPr>
              <w:jc w:val="both"/>
              <w:rPr>
                <w:bCs/>
              </w:rPr>
            </w:pPr>
            <w:r>
              <w:rPr>
                <w:bCs/>
              </w:rPr>
              <w:t>x</w:t>
            </w:r>
          </w:p>
        </w:tc>
        <w:tc>
          <w:tcPr>
            <w:tcW w:w="4143" w:type="dxa"/>
          </w:tcPr>
          <w:p w14:paraId="3A42C3C5" w14:textId="52497EC1" w:rsidR="003F7118" w:rsidRPr="003F7118" w:rsidRDefault="003F7118" w:rsidP="00C457CC">
            <w:pPr>
              <w:jc w:val="both"/>
              <w:rPr>
                <w:bCs/>
              </w:rPr>
            </w:pPr>
          </w:p>
        </w:tc>
        <w:tc>
          <w:tcPr>
            <w:tcW w:w="341" w:type="dxa"/>
          </w:tcPr>
          <w:p w14:paraId="2E5D3A14" w14:textId="77777777" w:rsidR="003F7118" w:rsidRPr="003F7118" w:rsidRDefault="003F7118" w:rsidP="00C457CC">
            <w:pPr>
              <w:jc w:val="both"/>
              <w:rPr>
                <w:bCs/>
              </w:rPr>
            </w:pPr>
          </w:p>
        </w:tc>
      </w:tr>
      <w:tr w:rsidR="00784DBC" w:rsidRPr="003F7118" w14:paraId="5A0B4FE0" w14:textId="77777777" w:rsidTr="003F7118">
        <w:tc>
          <w:tcPr>
            <w:tcW w:w="4137" w:type="dxa"/>
          </w:tcPr>
          <w:p w14:paraId="53F7826E" w14:textId="4C23C9B4" w:rsidR="008B35B0" w:rsidRPr="003F7118" w:rsidRDefault="008B35B0" w:rsidP="00C457CC">
            <w:pPr>
              <w:jc w:val="both"/>
              <w:rPr>
                <w:bCs/>
              </w:rPr>
            </w:pPr>
            <w:r w:rsidRPr="003F7118">
              <w:rPr>
                <w:bCs/>
              </w:rPr>
              <w:t>Reference to the process of how the curriculum is and will be reviewed</w:t>
            </w:r>
          </w:p>
        </w:tc>
        <w:tc>
          <w:tcPr>
            <w:tcW w:w="395" w:type="dxa"/>
          </w:tcPr>
          <w:p w14:paraId="59539A97" w14:textId="12DFE1AD" w:rsidR="008B35B0" w:rsidRPr="003F7118" w:rsidRDefault="00F27F92" w:rsidP="00C457CC">
            <w:pPr>
              <w:jc w:val="both"/>
              <w:rPr>
                <w:bCs/>
              </w:rPr>
            </w:pPr>
            <w:r>
              <w:rPr>
                <w:bCs/>
              </w:rPr>
              <w:t>x</w:t>
            </w:r>
          </w:p>
        </w:tc>
        <w:tc>
          <w:tcPr>
            <w:tcW w:w="4143" w:type="dxa"/>
          </w:tcPr>
          <w:p w14:paraId="775E6A85" w14:textId="68909B89" w:rsidR="008B35B0" w:rsidRPr="003F7118" w:rsidRDefault="008B35B0" w:rsidP="00C457CC">
            <w:pPr>
              <w:jc w:val="both"/>
              <w:rPr>
                <w:bCs/>
              </w:rPr>
            </w:pPr>
          </w:p>
        </w:tc>
        <w:tc>
          <w:tcPr>
            <w:tcW w:w="341" w:type="dxa"/>
          </w:tcPr>
          <w:p w14:paraId="7C295E15" w14:textId="77777777" w:rsidR="008B35B0" w:rsidRPr="003F7118" w:rsidRDefault="008B35B0" w:rsidP="00C457CC">
            <w:pPr>
              <w:jc w:val="both"/>
              <w:rPr>
                <w:bCs/>
              </w:rPr>
            </w:pPr>
          </w:p>
        </w:tc>
      </w:tr>
      <w:tr w:rsidR="00F0085D" w:rsidRPr="003F7118" w14:paraId="0D1602DF" w14:textId="77777777" w:rsidTr="003F7118">
        <w:tc>
          <w:tcPr>
            <w:tcW w:w="4137" w:type="dxa"/>
          </w:tcPr>
          <w:p w14:paraId="3391E534" w14:textId="6C7868F0" w:rsidR="00F0085D" w:rsidRPr="003F7118" w:rsidRDefault="00F0085D" w:rsidP="00C457CC">
            <w:pPr>
              <w:jc w:val="both"/>
              <w:rPr>
                <w:bCs/>
              </w:rPr>
            </w:pPr>
            <w:r w:rsidRPr="003F7118">
              <w:rPr>
                <w:bCs/>
              </w:rPr>
              <w:t>Post-16 as a separate section if this is applicable</w:t>
            </w:r>
          </w:p>
        </w:tc>
        <w:tc>
          <w:tcPr>
            <w:tcW w:w="395" w:type="dxa"/>
          </w:tcPr>
          <w:p w14:paraId="7F12B92E" w14:textId="31E167BD" w:rsidR="00F0085D" w:rsidRPr="003F7118" w:rsidRDefault="00F27F92" w:rsidP="00C457CC">
            <w:pPr>
              <w:jc w:val="both"/>
              <w:rPr>
                <w:bCs/>
              </w:rPr>
            </w:pPr>
            <w:r>
              <w:rPr>
                <w:bCs/>
              </w:rPr>
              <w:t>x</w:t>
            </w:r>
          </w:p>
        </w:tc>
        <w:tc>
          <w:tcPr>
            <w:tcW w:w="4143" w:type="dxa"/>
          </w:tcPr>
          <w:p w14:paraId="0C5709E2" w14:textId="0EABC66B" w:rsidR="00F0085D" w:rsidRPr="003F7118" w:rsidRDefault="00F0085D" w:rsidP="00C457CC">
            <w:pPr>
              <w:jc w:val="both"/>
              <w:rPr>
                <w:bCs/>
              </w:rPr>
            </w:pPr>
          </w:p>
        </w:tc>
        <w:tc>
          <w:tcPr>
            <w:tcW w:w="341" w:type="dxa"/>
          </w:tcPr>
          <w:p w14:paraId="0222D36F" w14:textId="77777777" w:rsidR="00F0085D" w:rsidRPr="003F7118" w:rsidRDefault="00F0085D" w:rsidP="00C457CC">
            <w:pPr>
              <w:jc w:val="both"/>
              <w:rPr>
                <w:bCs/>
              </w:rPr>
            </w:pPr>
          </w:p>
        </w:tc>
      </w:tr>
      <w:tr w:rsidR="003F7118" w:rsidRPr="003F7118" w14:paraId="00CFFF39" w14:textId="77777777" w:rsidTr="003F7118">
        <w:tc>
          <w:tcPr>
            <w:tcW w:w="4137" w:type="dxa"/>
          </w:tcPr>
          <w:p w14:paraId="78354549" w14:textId="4CB2EB7B" w:rsidR="003F7118" w:rsidRPr="003F7118" w:rsidRDefault="003F7118" w:rsidP="00C457CC">
            <w:pPr>
              <w:jc w:val="both"/>
              <w:rPr>
                <w:bCs/>
              </w:rPr>
            </w:pPr>
            <w:r w:rsidRPr="003F7118">
              <w:rPr>
                <w:bCs/>
              </w:rPr>
              <w:t>Qualifications and accreditation</w:t>
            </w:r>
          </w:p>
        </w:tc>
        <w:tc>
          <w:tcPr>
            <w:tcW w:w="395" w:type="dxa"/>
          </w:tcPr>
          <w:p w14:paraId="2EAFF702" w14:textId="2F5598D9" w:rsidR="003F7118" w:rsidRPr="003F7118" w:rsidRDefault="00F27F92" w:rsidP="00C457CC">
            <w:pPr>
              <w:jc w:val="both"/>
              <w:rPr>
                <w:bCs/>
              </w:rPr>
            </w:pPr>
            <w:r>
              <w:rPr>
                <w:bCs/>
              </w:rPr>
              <w:t>x</w:t>
            </w:r>
          </w:p>
        </w:tc>
        <w:tc>
          <w:tcPr>
            <w:tcW w:w="4143" w:type="dxa"/>
          </w:tcPr>
          <w:p w14:paraId="2FA3DA60" w14:textId="6EE79CB5" w:rsidR="003F7118" w:rsidRPr="003F7118" w:rsidRDefault="003F7118" w:rsidP="00C457CC">
            <w:pPr>
              <w:pStyle w:val="NormalWeb"/>
              <w:ind w:left="360"/>
              <w:jc w:val="both"/>
              <w:rPr>
                <w:rFonts w:ascii="Tahoma" w:hAnsi="Tahoma" w:cs="Tahoma"/>
                <w:bCs/>
                <w:sz w:val="20"/>
                <w:szCs w:val="20"/>
              </w:rPr>
            </w:pPr>
          </w:p>
        </w:tc>
        <w:tc>
          <w:tcPr>
            <w:tcW w:w="341" w:type="dxa"/>
          </w:tcPr>
          <w:p w14:paraId="3BFD55C3" w14:textId="77777777" w:rsidR="003F7118" w:rsidRPr="003F7118" w:rsidRDefault="003F7118" w:rsidP="00C457CC">
            <w:pPr>
              <w:jc w:val="both"/>
              <w:rPr>
                <w:bCs/>
              </w:rPr>
            </w:pPr>
          </w:p>
        </w:tc>
      </w:tr>
      <w:tr w:rsidR="003F7118" w:rsidRPr="003F7118" w14:paraId="49A67838" w14:textId="77777777" w:rsidTr="003F7118">
        <w:tc>
          <w:tcPr>
            <w:tcW w:w="4137" w:type="dxa"/>
          </w:tcPr>
          <w:p w14:paraId="3C43A664" w14:textId="7C2E8538" w:rsidR="003F7118" w:rsidRPr="003F7118" w:rsidRDefault="003F7118" w:rsidP="00C457CC">
            <w:pPr>
              <w:jc w:val="both"/>
              <w:rPr>
                <w:bCs/>
              </w:rPr>
            </w:pPr>
            <w:r w:rsidRPr="003F7118">
              <w:rPr>
                <w:bCs/>
              </w:rPr>
              <w:t>Implementation and Responsibilities</w:t>
            </w:r>
          </w:p>
        </w:tc>
        <w:tc>
          <w:tcPr>
            <w:tcW w:w="395" w:type="dxa"/>
          </w:tcPr>
          <w:p w14:paraId="0A531E2D" w14:textId="01D598D9" w:rsidR="003F7118" w:rsidRPr="003F7118" w:rsidRDefault="00F27F92" w:rsidP="00C457CC">
            <w:pPr>
              <w:jc w:val="both"/>
              <w:rPr>
                <w:bCs/>
              </w:rPr>
            </w:pPr>
            <w:r>
              <w:rPr>
                <w:bCs/>
              </w:rPr>
              <w:t>x</w:t>
            </w:r>
          </w:p>
        </w:tc>
        <w:tc>
          <w:tcPr>
            <w:tcW w:w="4143" w:type="dxa"/>
          </w:tcPr>
          <w:p w14:paraId="31B961A4" w14:textId="4673C18B" w:rsidR="003F7118" w:rsidRPr="003F7118" w:rsidRDefault="003F7118" w:rsidP="00C457CC">
            <w:pPr>
              <w:pStyle w:val="NormalWeb"/>
              <w:ind w:left="360"/>
              <w:jc w:val="both"/>
              <w:rPr>
                <w:bCs/>
              </w:rPr>
            </w:pPr>
          </w:p>
        </w:tc>
        <w:tc>
          <w:tcPr>
            <w:tcW w:w="341" w:type="dxa"/>
          </w:tcPr>
          <w:p w14:paraId="2FE39A62" w14:textId="77777777" w:rsidR="003F7118" w:rsidRPr="003F7118" w:rsidRDefault="003F7118" w:rsidP="00C457CC">
            <w:pPr>
              <w:jc w:val="both"/>
              <w:rPr>
                <w:bCs/>
              </w:rPr>
            </w:pPr>
          </w:p>
        </w:tc>
      </w:tr>
      <w:tr w:rsidR="003F7118" w:rsidRPr="003F7118" w14:paraId="5BF3F614" w14:textId="77777777" w:rsidTr="003F7118">
        <w:tc>
          <w:tcPr>
            <w:tcW w:w="4137" w:type="dxa"/>
          </w:tcPr>
          <w:p w14:paraId="1C8C84A0" w14:textId="48A21415" w:rsidR="003F7118" w:rsidRPr="003F7118" w:rsidRDefault="003F7118" w:rsidP="00C457CC">
            <w:pPr>
              <w:jc w:val="both"/>
              <w:rPr>
                <w:bCs/>
              </w:rPr>
            </w:pPr>
            <w:r w:rsidRPr="003F7118">
              <w:rPr>
                <w:bCs/>
              </w:rPr>
              <w:t>Review and Evaluation</w:t>
            </w:r>
          </w:p>
        </w:tc>
        <w:tc>
          <w:tcPr>
            <w:tcW w:w="395" w:type="dxa"/>
          </w:tcPr>
          <w:p w14:paraId="55C8AE56" w14:textId="7A557267" w:rsidR="003F7118" w:rsidRPr="003F7118" w:rsidRDefault="00F27F92" w:rsidP="00C457CC">
            <w:pPr>
              <w:jc w:val="both"/>
              <w:rPr>
                <w:bCs/>
              </w:rPr>
            </w:pPr>
            <w:r>
              <w:rPr>
                <w:bCs/>
              </w:rPr>
              <w:t>x</w:t>
            </w:r>
          </w:p>
        </w:tc>
        <w:tc>
          <w:tcPr>
            <w:tcW w:w="4143" w:type="dxa"/>
          </w:tcPr>
          <w:p w14:paraId="0ED50CA3" w14:textId="61D4B9A6" w:rsidR="003F7118" w:rsidRPr="003F7118" w:rsidRDefault="003F7118" w:rsidP="00C457CC">
            <w:pPr>
              <w:pStyle w:val="NormalWeb"/>
              <w:ind w:left="360"/>
              <w:jc w:val="both"/>
              <w:rPr>
                <w:rFonts w:ascii="Tahoma" w:hAnsi="Tahoma" w:cs="Tahoma"/>
                <w:bCs/>
                <w:sz w:val="20"/>
                <w:szCs w:val="20"/>
              </w:rPr>
            </w:pPr>
          </w:p>
        </w:tc>
        <w:tc>
          <w:tcPr>
            <w:tcW w:w="341" w:type="dxa"/>
          </w:tcPr>
          <w:p w14:paraId="1E527234" w14:textId="77777777" w:rsidR="003F7118" w:rsidRPr="003F7118" w:rsidRDefault="003F7118" w:rsidP="00C457CC">
            <w:pPr>
              <w:jc w:val="both"/>
              <w:rPr>
                <w:bCs/>
              </w:rPr>
            </w:pPr>
          </w:p>
        </w:tc>
      </w:tr>
    </w:tbl>
    <w:p w14:paraId="3E310636" w14:textId="77777777" w:rsidR="003F7118" w:rsidRDefault="003F7118" w:rsidP="00C457CC">
      <w:pPr>
        <w:jc w:val="both"/>
        <w:rPr>
          <w:b/>
        </w:rPr>
      </w:pPr>
    </w:p>
    <w:p w14:paraId="0892739B" w14:textId="322E8855" w:rsidR="00D36B5A" w:rsidRPr="00FE1B0D" w:rsidRDefault="00FE1B0D" w:rsidP="00C457CC">
      <w:pPr>
        <w:jc w:val="both"/>
        <w:rPr>
          <w:b/>
        </w:rPr>
      </w:pPr>
      <w:r w:rsidRPr="00FE1B0D">
        <w:rPr>
          <w:b/>
        </w:rPr>
        <w:t xml:space="preserve">Local Procedure </w:t>
      </w:r>
      <w:r w:rsidR="00ED27F4" w:rsidRPr="00FE1B0D">
        <w:rPr>
          <w:b/>
        </w:rPr>
        <w:t>Review History</w:t>
      </w:r>
      <w:r w:rsidRPr="00FE1B0D">
        <w:rPr>
          <w:b/>
        </w:rPr>
        <w:t>:</w:t>
      </w:r>
    </w:p>
    <w:tbl>
      <w:tblPr>
        <w:tblStyle w:val="TableGrid"/>
        <w:tblW w:w="0" w:type="auto"/>
        <w:tblLook w:val="04A0" w:firstRow="1" w:lastRow="0" w:firstColumn="1" w:lastColumn="0" w:noHBand="0" w:noVBand="1"/>
      </w:tblPr>
      <w:tblGrid>
        <w:gridCol w:w="3005"/>
        <w:gridCol w:w="3005"/>
        <w:gridCol w:w="3006"/>
      </w:tblGrid>
      <w:tr w:rsidR="00FE1B0D" w14:paraId="112A3AD4" w14:textId="77777777" w:rsidTr="00FE1B0D">
        <w:tc>
          <w:tcPr>
            <w:tcW w:w="3080" w:type="dxa"/>
            <w:shd w:val="clear" w:color="auto" w:fill="C6D9F1" w:themeFill="text2" w:themeFillTint="33"/>
          </w:tcPr>
          <w:p w14:paraId="7569A8B8" w14:textId="77777777" w:rsidR="00FE1B0D" w:rsidRPr="00FE1B0D" w:rsidRDefault="00FE1B0D" w:rsidP="00C457CC">
            <w:pPr>
              <w:jc w:val="both"/>
              <w:rPr>
                <w:b/>
              </w:rPr>
            </w:pPr>
            <w:r w:rsidRPr="00FE1B0D">
              <w:rPr>
                <w:b/>
              </w:rPr>
              <w:t>Date Reviewed</w:t>
            </w:r>
          </w:p>
        </w:tc>
        <w:tc>
          <w:tcPr>
            <w:tcW w:w="3081" w:type="dxa"/>
            <w:shd w:val="clear" w:color="auto" w:fill="C6D9F1" w:themeFill="text2" w:themeFillTint="33"/>
          </w:tcPr>
          <w:p w14:paraId="717A8983" w14:textId="77777777" w:rsidR="00FE1B0D" w:rsidRPr="00FE1B0D" w:rsidRDefault="00FE1B0D" w:rsidP="00C457CC">
            <w:pPr>
              <w:jc w:val="both"/>
              <w:rPr>
                <w:b/>
              </w:rPr>
            </w:pPr>
            <w:r w:rsidRPr="00FE1B0D">
              <w:rPr>
                <w:b/>
              </w:rPr>
              <w:t xml:space="preserve">Reviewer </w:t>
            </w:r>
          </w:p>
        </w:tc>
        <w:tc>
          <w:tcPr>
            <w:tcW w:w="3081" w:type="dxa"/>
            <w:shd w:val="clear" w:color="auto" w:fill="C6D9F1" w:themeFill="text2" w:themeFillTint="33"/>
          </w:tcPr>
          <w:p w14:paraId="04FA4B5F" w14:textId="77777777" w:rsidR="00FE1B0D" w:rsidRPr="00FE1B0D" w:rsidRDefault="00FE1B0D" w:rsidP="00C457CC">
            <w:pPr>
              <w:jc w:val="both"/>
              <w:rPr>
                <w:b/>
              </w:rPr>
            </w:pPr>
            <w:r w:rsidRPr="00FE1B0D">
              <w:rPr>
                <w:b/>
              </w:rPr>
              <w:t>Summary of revisions</w:t>
            </w:r>
          </w:p>
        </w:tc>
      </w:tr>
      <w:tr w:rsidR="00FE1B0D" w14:paraId="4A11628D" w14:textId="77777777" w:rsidTr="00FE1B0D">
        <w:tc>
          <w:tcPr>
            <w:tcW w:w="3080" w:type="dxa"/>
          </w:tcPr>
          <w:p w14:paraId="1C1F9D27" w14:textId="77777777" w:rsidR="00FE1B0D" w:rsidRDefault="00FE1B0D" w:rsidP="00C457CC">
            <w:pPr>
              <w:jc w:val="both"/>
            </w:pPr>
          </w:p>
        </w:tc>
        <w:tc>
          <w:tcPr>
            <w:tcW w:w="3081" w:type="dxa"/>
          </w:tcPr>
          <w:p w14:paraId="03DC953F" w14:textId="77777777" w:rsidR="00FE1B0D" w:rsidRDefault="00FE1B0D" w:rsidP="00C457CC">
            <w:pPr>
              <w:jc w:val="both"/>
            </w:pPr>
          </w:p>
        </w:tc>
        <w:tc>
          <w:tcPr>
            <w:tcW w:w="3081" w:type="dxa"/>
          </w:tcPr>
          <w:p w14:paraId="40564E94" w14:textId="77777777" w:rsidR="00FE1B0D" w:rsidRDefault="00FE1B0D" w:rsidP="00C457CC">
            <w:pPr>
              <w:jc w:val="both"/>
            </w:pPr>
          </w:p>
        </w:tc>
      </w:tr>
      <w:tr w:rsidR="00FE1B0D" w14:paraId="53829D98" w14:textId="77777777" w:rsidTr="00FE1B0D">
        <w:tc>
          <w:tcPr>
            <w:tcW w:w="3080" w:type="dxa"/>
          </w:tcPr>
          <w:p w14:paraId="17FE8C73" w14:textId="77777777" w:rsidR="00FE1B0D" w:rsidRDefault="00FE1B0D" w:rsidP="00C457CC">
            <w:pPr>
              <w:jc w:val="both"/>
            </w:pPr>
          </w:p>
        </w:tc>
        <w:tc>
          <w:tcPr>
            <w:tcW w:w="3081" w:type="dxa"/>
          </w:tcPr>
          <w:p w14:paraId="1B5EC75C" w14:textId="77777777" w:rsidR="00FE1B0D" w:rsidRDefault="00FE1B0D" w:rsidP="00C457CC">
            <w:pPr>
              <w:jc w:val="both"/>
            </w:pPr>
          </w:p>
        </w:tc>
        <w:tc>
          <w:tcPr>
            <w:tcW w:w="3081" w:type="dxa"/>
          </w:tcPr>
          <w:p w14:paraId="1E12D503" w14:textId="77777777" w:rsidR="00FE1B0D" w:rsidRDefault="00FE1B0D" w:rsidP="00C457CC">
            <w:pPr>
              <w:jc w:val="both"/>
            </w:pPr>
          </w:p>
        </w:tc>
      </w:tr>
      <w:tr w:rsidR="00FE1B0D" w14:paraId="41C7A990" w14:textId="77777777" w:rsidTr="00FE1B0D">
        <w:tc>
          <w:tcPr>
            <w:tcW w:w="3080" w:type="dxa"/>
          </w:tcPr>
          <w:p w14:paraId="54E4B153" w14:textId="77777777" w:rsidR="00FE1B0D" w:rsidRDefault="00FE1B0D" w:rsidP="00C457CC">
            <w:pPr>
              <w:jc w:val="both"/>
            </w:pPr>
          </w:p>
        </w:tc>
        <w:tc>
          <w:tcPr>
            <w:tcW w:w="3081" w:type="dxa"/>
          </w:tcPr>
          <w:p w14:paraId="6473A693" w14:textId="77777777" w:rsidR="00FE1B0D" w:rsidRDefault="00FE1B0D" w:rsidP="00C457CC">
            <w:pPr>
              <w:jc w:val="both"/>
            </w:pPr>
          </w:p>
        </w:tc>
        <w:tc>
          <w:tcPr>
            <w:tcW w:w="3081" w:type="dxa"/>
          </w:tcPr>
          <w:p w14:paraId="43CA450C" w14:textId="77777777" w:rsidR="00FE1B0D" w:rsidRDefault="00FE1B0D" w:rsidP="00C457CC">
            <w:pPr>
              <w:jc w:val="both"/>
            </w:pPr>
          </w:p>
        </w:tc>
      </w:tr>
      <w:tr w:rsidR="00FE1B0D" w14:paraId="409D472D" w14:textId="77777777" w:rsidTr="00FE1B0D">
        <w:tc>
          <w:tcPr>
            <w:tcW w:w="3080" w:type="dxa"/>
          </w:tcPr>
          <w:p w14:paraId="23C0C8BD" w14:textId="77777777" w:rsidR="00FE1B0D" w:rsidRDefault="00FE1B0D" w:rsidP="00C457CC">
            <w:pPr>
              <w:jc w:val="both"/>
            </w:pPr>
          </w:p>
        </w:tc>
        <w:tc>
          <w:tcPr>
            <w:tcW w:w="3081" w:type="dxa"/>
          </w:tcPr>
          <w:p w14:paraId="35E1C2D1" w14:textId="77777777" w:rsidR="00FE1B0D" w:rsidRDefault="00FE1B0D" w:rsidP="00C457CC">
            <w:pPr>
              <w:jc w:val="both"/>
            </w:pPr>
          </w:p>
        </w:tc>
        <w:tc>
          <w:tcPr>
            <w:tcW w:w="3081" w:type="dxa"/>
          </w:tcPr>
          <w:p w14:paraId="30FBA2B2" w14:textId="77777777" w:rsidR="00FE1B0D" w:rsidRDefault="00FE1B0D" w:rsidP="00C457CC">
            <w:pPr>
              <w:jc w:val="both"/>
            </w:pPr>
          </w:p>
        </w:tc>
      </w:tr>
      <w:tr w:rsidR="00FE1B0D" w14:paraId="5AEA842A" w14:textId="77777777" w:rsidTr="00FE1B0D">
        <w:tc>
          <w:tcPr>
            <w:tcW w:w="3080" w:type="dxa"/>
          </w:tcPr>
          <w:p w14:paraId="6CC0723F" w14:textId="77777777" w:rsidR="00FE1B0D" w:rsidRDefault="00FE1B0D" w:rsidP="00C457CC">
            <w:pPr>
              <w:jc w:val="both"/>
            </w:pPr>
          </w:p>
        </w:tc>
        <w:tc>
          <w:tcPr>
            <w:tcW w:w="3081" w:type="dxa"/>
          </w:tcPr>
          <w:p w14:paraId="2DEBC01E" w14:textId="77777777" w:rsidR="00FE1B0D" w:rsidRDefault="00FE1B0D" w:rsidP="00C457CC">
            <w:pPr>
              <w:jc w:val="both"/>
            </w:pPr>
          </w:p>
        </w:tc>
        <w:tc>
          <w:tcPr>
            <w:tcW w:w="3081" w:type="dxa"/>
          </w:tcPr>
          <w:p w14:paraId="483601A9" w14:textId="77777777" w:rsidR="00FE1B0D" w:rsidRDefault="00FE1B0D" w:rsidP="00C457CC">
            <w:pPr>
              <w:jc w:val="both"/>
            </w:pPr>
          </w:p>
        </w:tc>
      </w:tr>
      <w:tr w:rsidR="00FE1B0D" w14:paraId="240928CC" w14:textId="77777777" w:rsidTr="00FE1B0D">
        <w:tc>
          <w:tcPr>
            <w:tcW w:w="3080" w:type="dxa"/>
          </w:tcPr>
          <w:p w14:paraId="71DD1BF1" w14:textId="77777777" w:rsidR="00FE1B0D" w:rsidRDefault="00FE1B0D" w:rsidP="00C457CC">
            <w:pPr>
              <w:jc w:val="both"/>
            </w:pPr>
          </w:p>
        </w:tc>
        <w:tc>
          <w:tcPr>
            <w:tcW w:w="3081" w:type="dxa"/>
          </w:tcPr>
          <w:p w14:paraId="4A85E0D7" w14:textId="77777777" w:rsidR="00FE1B0D" w:rsidRDefault="00FE1B0D" w:rsidP="00C457CC">
            <w:pPr>
              <w:jc w:val="both"/>
            </w:pPr>
          </w:p>
        </w:tc>
        <w:tc>
          <w:tcPr>
            <w:tcW w:w="3081" w:type="dxa"/>
          </w:tcPr>
          <w:p w14:paraId="0D0F6E5A" w14:textId="77777777" w:rsidR="00FE1B0D" w:rsidRDefault="00FE1B0D" w:rsidP="00C457CC">
            <w:pPr>
              <w:jc w:val="both"/>
            </w:pPr>
          </w:p>
        </w:tc>
      </w:tr>
      <w:tr w:rsidR="00FE1B0D" w14:paraId="1DA59E89" w14:textId="77777777" w:rsidTr="00FE1B0D">
        <w:tc>
          <w:tcPr>
            <w:tcW w:w="3080" w:type="dxa"/>
          </w:tcPr>
          <w:p w14:paraId="0E6ED322" w14:textId="77777777" w:rsidR="00FE1B0D" w:rsidRDefault="00FE1B0D" w:rsidP="00C457CC">
            <w:pPr>
              <w:jc w:val="both"/>
            </w:pPr>
          </w:p>
        </w:tc>
        <w:tc>
          <w:tcPr>
            <w:tcW w:w="3081" w:type="dxa"/>
          </w:tcPr>
          <w:p w14:paraId="4CA67B98" w14:textId="77777777" w:rsidR="00FE1B0D" w:rsidRDefault="00FE1B0D" w:rsidP="00C457CC">
            <w:pPr>
              <w:jc w:val="both"/>
            </w:pPr>
          </w:p>
        </w:tc>
        <w:tc>
          <w:tcPr>
            <w:tcW w:w="3081" w:type="dxa"/>
          </w:tcPr>
          <w:p w14:paraId="29E0518F" w14:textId="77777777" w:rsidR="00FE1B0D" w:rsidRDefault="00FE1B0D" w:rsidP="00C457CC">
            <w:pPr>
              <w:jc w:val="both"/>
            </w:pPr>
          </w:p>
        </w:tc>
      </w:tr>
    </w:tbl>
    <w:p w14:paraId="75BFC176" w14:textId="77777777" w:rsidR="00FE1B0D" w:rsidRPr="00FE1B0D" w:rsidRDefault="00FE1B0D" w:rsidP="00C457CC">
      <w:pPr>
        <w:jc w:val="both"/>
      </w:pPr>
    </w:p>
    <w:sectPr w:rsidR="00FE1B0D" w:rsidRPr="00FE1B0D" w:rsidSect="0021558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A0B8" w14:textId="77777777" w:rsidR="00A53229" w:rsidRDefault="00A53229" w:rsidP="00714039">
      <w:pPr>
        <w:spacing w:after="0" w:line="240" w:lineRule="auto"/>
      </w:pPr>
      <w:r>
        <w:separator/>
      </w:r>
    </w:p>
  </w:endnote>
  <w:endnote w:type="continuationSeparator" w:id="0">
    <w:p w14:paraId="7B47EF85" w14:textId="77777777" w:rsidR="00A53229" w:rsidRDefault="00A53229" w:rsidP="0071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B9D1" w14:textId="66C36A46" w:rsidR="0021017D" w:rsidRPr="004C0F0F" w:rsidRDefault="0021017D" w:rsidP="0021017D">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4251A8">
      <w:rPr>
        <w:rFonts w:ascii="Tahoma" w:hAnsi="Tahoma" w:cs="Tahoma"/>
        <w:sz w:val="16"/>
        <w:szCs w:val="16"/>
      </w:rPr>
      <w:t xml:space="preserve">Aspris </w:t>
    </w:r>
    <w:r w:rsidRPr="004C0F0F">
      <w:rPr>
        <w:rFonts w:ascii="Tahoma" w:hAnsi="Tahoma" w:cs="Tahoma"/>
        <w:sz w:val="16"/>
        <w:szCs w:val="16"/>
      </w:rPr>
      <w:t xml:space="preserve">–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4251A8">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 xml:space="preserve">Local Procedure: 31 </w:t>
    </w:r>
  </w:p>
  <w:p w14:paraId="703F4D81" w14:textId="7F805285" w:rsidR="0021017D" w:rsidRPr="00C20A5B" w:rsidRDefault="004251A8" w:rsidP="0021017D">
    <w:pPr>
      <w:pStyle w:val="Footer"/>
      <w:ind w:right="-186"/>
    </w:pPr>
    <w:r>
      <w:rPr>
        <w:rFonts w:ascii="Tahoma" w:hAnsi="Tahoma" w:cs="Tahoma"/>
        <w:sz w:val="16"/>
        <w:szCs w:val="16"/>
      </w:rPr>
      <w:t xml:space="preserve">Aspris </w:t>
    </w:r>
    <w:r w:rsidR="0021017D" w:rsidRPr="004C0F0F">
      <w:rPr>
        <w:rFonts w:ascii="Tahoma" w:hAnsi="Tahoma" w:cs="Tahoma"/>
        <w:sz w:val="16"/>
        <w:szCs w:val="16"/>
      </w:rPr>
      <w:t xml:space="preserve">Children’s Services – </w:t>
    </w:r>
    <w:r w:rsidR="0021017D" w:rsidRPr="000F6973">
      <w:rPr>
        <w:rFonts w:ascii="Tahoma" w:hAnsi="Tahoma" w:cs="Tahoma"/>
        <w:sz w:val="16"/>
        <w:szCs w:val="16"/>
      </w:rPr>
      <w:t>V0</w:t>
    </w:r>
    <w:r w:rsidR="003F7118">
      <w:rPr>
        <w:rFonts w:ascii="Tahoma" w:hAnsi="Tahoma" w:cs="Tahoma"/>
        <w:sz w:val="16"/>
        <w:szCs w:val="16"/>
      </w:rPr>
      <w:t>3</w:t>
    </w:r>
    <w:r w:rsidR="0021017D" w:rsidRPr="000F6973">
      <w:rPr>
        <w:rFonts w:ascii="Tahoma" w:hAnsi="Tahoma" w:cs="Tahoma"/>
        <w:sz w:val="16"/>
        <w:szCs w:val="16"/>
      </w:rPr>
      <w:t xml:space="preserve"> –</w:t>
    </w:r>
    <w:r w:rsidR="0021017D" w:rsidRPr="000F6973">
      <w:rPr>
        <w:rFonts w:ascii="Tahoma" w:hAnsi="Tahoma" w:cs="Tahoma"/>
        <w:sz w:val="16"/>
      </w:rPr>
      <w:t xml:space="preserve"> </w:t>
    </w:r>
    <w:r w:rsidR="0021316B">
      <w:rPr>
        <w:rFonts w:ascii="Tahoma" w:hAnsi="Tahoma" w:cs="Tahoma"/>
        <w:sz w:val="16"/>
      </w:rPr>
      <w:t>September</w:t>
    </w:r>
    <w:r w:rsidR="003F7118">
      <w:rPr>
        <w:rFonts w:ascii="Tahoma" w:hAnsi="Tahoma" w:cs="Tahoma"/>
        <w:sz w:val="16"/>
      </w:rPr>
      <w:t xml:space="preserve"> </w:t>
    </w:r>
    <w:r>
      <w:rPr>
        <w:rFonts w:ascii="Tahoma" w:hAnsi="Tahoma" w:cs="Tahoma"/>
        <w:sz w:val="16"/>
      </w:rPr>
      <w:t>2</w:t>
    </w:r>
    <w:r w:rsidR="00284399">
      <w:rPr>
        <w:rFonts w:ascii="Tahoma" w:hAnsi="Tahoma" w:cs="Tahoma"/>
        <w:sz w:val="16"/>
      </w:rPr>
      <w:t>02</w:t>
    </w:r>
    <w:r w:rsidR="003F7118">
      <w:rPr>
        <w:rFonts w:ascii="Tahoma" w:hAnsi="Tahoma" w:cs="Tahoma"/>
        <w:sz w:val="16"/>
      </w:rPr>
      <w:t>5</w:t>
    </w:r>
    <w:r w:rsidR="0021017D">
      <w:rPr>
        <w:rFonts w:ascii="Tahoma" w:hAnsi="Tahoma" w:cs="Tahoma"/>
        <w:sz w:val="16"/>
      </w:rPr>
      <w:tab/>
    </w:r>
    <w:r w:rsidR="0021017D">
      <w:rPr>
        <w:rFonts w:ascii="Tahoma" w:hAnsi="Tahoma" w:cs="Tahoma"/>
        <w:sz w:val="16"/>
      </w:rPr>
      <w:tab/>
    </w:r>
    <w:r w:rsidR="0021017D" w:rsidRPr="00C20A5B">
      <w:rPr>
        <w:rFonts w:ascii="Tahoma" w:hAnsi="Tahoma" w:cs="Tahoma"/>
        <w:sz w:val="16"/>
      </w:rPr>
      <w:t xml:space="preserve">Page </w:t>
    </w:r>
    <w:r w:rsidR="0021017D" w:rsidRPr="00C20A5B">
      <w:rPr>
        <w:rStyle w:val="PageNumber"/>
        <w:rFonts w:ascii="Tahoma" w:hAnsi="Tahoma" w:cs="Tahoma"/>
        <w:sz w:val="16"/>
      </w:rPr>
      <w:fldChar w:fldCharType="begin"/>
    </w:r>
    <w:r w:rsidR="0021017D" w:rsidRPr="00C20A5B">
      <w:rPr>
        <w:rStyle w:val="PageNumber"/>
        <w:rFonts w:ascii="Tahoma" w:hAnsi="Tahoma" w:cs="Tahoma"/>
        <w:sz w:val="16"/>
      </w:rPr>
      <w:instrText xml:space="preserve"> PAGE </w:instrText>
    </w:r>
    <w:r w:rsidR="0021017D" w:rsidRPr="00C20A5B">
      <w:rPr>
        <w:rStyle w:val="PageNumber"/>
        <w:rFonts w:ascii="Tahoma" w:hAnsi="Tahoma" w:cs="Tahoma"/>
        <w:sz w:val="16"/>
      </w:rPr>
      <w:fldChar w:fldCharType="separate"/>
    </w:r>
    <w:r w:rsidR="00D25173">
      <w:rPr>
        <w:rStyle w:val="PageNumber"/>
        <w:rFonts w:ascii="Tahoma" w:hAnsi="Tahoma" w:cs="Tahoma"/>
        <w:noProof/>
        <w:sz w:val="16"/>
      </w:rPr>
      <w:t>1</w:t>
    </w:r>
    <w:r w:rsidR="0021017D" w:rsidRPr="00C20A5B">
      <w:rPr>
        <w:rStyle w:val="PageNumber"/>
        <w:rFonts w:ascii="Tahoma" w:hAnsi="Tahoma" w:cs="Tahoma"/>
        <w:sz w:val="16"/>
      </w:rPr>
      <w:fldChar w:fldCharType="end"/>
    </w:r>
    <w:r w:rsidR="0021017D" w:rsidRPr="00C20A5B">
      <w:rPr>
        <w:rFonts w:ascii="Tahoma" w:hAnsi="Tahoma" w:cs="Tahoma"/>
        <w:sz w:val="16"/>
      </w:rPr>
      <w:t xml:space="preserve"> of </w:t>
    </w:r>
    <w:r w:rsidR="0021017D" w:rsidRPr="00C20A5B">
      <w:rPr>
        <w:rFonts w:ascii="Tahoma" w:hAnsi="Tahoma" w:cs="Tahoma"/>
        <w:sz w:val="16"/>
        <w:szCs w:val="16"/>
      </w:rPr>
      <w:fldChar w:fldCharType="begin"/>
    </w:r>
    <w:r w:rsidR="0021017D" w:rsidRPr="00C20A5B">
      <w:rPr>
        <w:rFonts w:ascii="Tahoma" w:hAnsi="Tahoma" w:cs="Tahoma"/>
        <w:sz w:val="16"/>
        <w:szCs w:val="16"/>
      </w:rPr>
      <w:instrText xml:space="preserve"> NUMPAGES  </w:instrText>
    </w:r>
    <w:r w:rsidR="0021017D" w:rsidRPr="00C20A5B">
      <w:rPr>
        <w:rFonts w:ascii="Tahoma" w:hAnsi="Tahoma" w:cs="Tahoma"/>
        <w:sz w:val="16"/>
        <w:szCs w:val="16"/>
      </w:rPr>
      <w:fldChar w:fldCharType="separate"/>
    </w:r>
    <w:r w:rsidR="00D25173">
      <w:rPr>
        <w:rFonts w:ascii="Tahoma" w:hAnsi="Tahoma" w:cs="Tahoma"/>
        <w:noProof/>
        <w:sz w:val="16"/>
        <w:szCs w:val="16"/>
      </w:rPr>
      <w:t>2</w:t>
    </w:r>
    <w:r w:rsidR="0021017D" w:rsidRPr="00C20A5B">
      <w:rPr>
        <w:rFonts w:ascii="Tahoma" w:hAnsi="Tahoma" w:cs="Tahoma"/>
        <w:sz w:val="16"/>
        <w:szCs w:val="16"/>
      </w:rPr>
      <w:fldChar w:fldCharType="end"/>
    </w:r>
  </w:p>
  <w:p w14:paraId="478D521D" w14:textId="77777777" w:rsidR="00847CED" w:rsidRPr="0021017D" w:rsidRDefault="00847CED" w:rsidP="00210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8D54" w14:textId="77777777" w:rsidR="00A53229" w:rsidRDefault="00A53229" w:rsidP="00714039">
      <w:pPr>
        <w:spacing w:after="0" w:line="240" w:lineRule="auto"/>
      </w:pPr>
      <w:r>
        <w:separator/>
      </w:r>
    </w:p>
  </w:footnote>
  <w:footnote w:type="continuationSeparator" w:id="0">
    <w:p w14:paraId="40F0AF33" w14:textId="77777777" w:rsidR="00A53229" w:rsidRDefault="00A53229" w:rsidP="0071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8754" w14:textId="1DCAFF5B" w:rsidR="00CB1A0E" w:rsidRDefault="00CB1A0E" w:rsidP="00714039">
    <w:pPr>
      <w:pStyle w:val="Header"/>
      <w:jc w:val="center"/>
      <w:rPr>
        <w:b/>
        <w:color w:val="7F7F7F" w:themeColor="text1" w:themeTint="80"/>
      </w:rPr>
    </w:pPr>
  </w:p>
  <w:p w14:paraId="3E005105" w14:textId="5799B298" w:rsidR="00714039" w:rsidRPr="004251A8" w:rsidRDefault="00714039" w:rsidP="00714039">
    <w:pPr>
      <w:pStyle w:val="Header"/>
      <w:jc w:val="center"/>
      <w:rPr>
        <w:rFonts w:ascii="Tahoma" w:hAnsi="Tahoma" w:cs="Tahoma"/>
        <w:b/>
        <w:color w:val="7F7F7F" w:themeColor="text1" w:themeTint="80"/>
        <w:sz w:val="16"/>
        <w:szCs w:val="16"/>
      </w:rPr>
    </w:pPr>
    <w:r w:rsidRPr="004251A8">
      <w:rPr>
        <w:rFonts w:ascii="Tahoma" w:hAnsi="Tahoma" w:cs="Tahoma"/>
        <w:b/>
        <w:color w:val="7F7F7F" w:themeColor="text1" w:themeTint="80"/>
        <w:sz w:val="16"/>
        <w:szCs w:val="16"/>
      </w:rPr>
      <w:t>Local Procedure Template</w:t>
    </w:r>
  </w:p>
  <w:p w14:paraId="2D310CCD" w14:textId="77777777" w:rsidR="00714039"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6CB"/>
    <w:multiLevelType w:val="multilevel"/>
    <w:tmpl w:val="3490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D682D"/>
    <w:multiLevelType w:val="multilevel"/>
    <w:tmpl w:val="A684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4C4"/>
    <w:multiLevelType w:val="multilevel"/>
    <w:tmpl w:val="269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37FCA"/>
    <w:multiLevelType w:val="multilevel"/>
    <w:tmpl w:val="6A6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F42CA"/>
    <w:multiLevelType w:val="multilevel"/>
    <w:tmpl w:val="E3A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13EB0"/>
    <w:multiLevelType w:val="multilevel"/>
    <w:tmpl w:val="39E0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91D83"/>
    <w:multiLevelType w:val="multilevel"/>
    <w:tmpl w:val="D514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A5EBB"/>
    <w:multiLevelType w:val="multilevel"/>
    <w:tmpl w:val="FF3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7134434"/>
    <w:multiLevelType w:val="multilevel"/>
    <w:tmpl w:val="6B3A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DC04CF"/>
    <w:multiLevelType w:val="multilevel"/>
    <w:tmpl w:val="3D1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945779"/>
    <w:multiLevelType w:val="multilevel"/>
    <w:tmpl w:val="2E48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708EB"/>
    <w:multiLevelType w:val="multilevel"/>
    <w:tmpl w:val="992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782404"/>
    <w:multiLevelType w:val="multilevel"/>
    <w:tmpl w:val="E838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39271F"/>
    <w:multiLevelType w:val="multilevel"/>
    <w:tmpl w:val="2ABA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C0FBC"/>
    <w:multiLevelType w:val="multilevel"/>
    <w:tmpl w:val="A66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95297"/>
    <w:multiLevelType w:val="multilevel"/>
    <w:tmpl w:val="659E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3E4BBD"/>
    <w:multiLevelType w:val="multilevel"/>
    <w:tmpl w:val="BC7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163827"/>
    <w:multiLevelType w:val="hybridMultilevel"/>
    <w:tmpl w:val="D1AE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6739F"/>
    <w:multiLevelType w:val="multilevel"/>
    <w:tmpl w:val="F3E4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FE66BD"/>
    <w:multiLevelType w:val="multilevel"/>
    <w:tmpl w:val="4A08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495B88"/>
    <w:multiLevelType w:val="multilevel"/>
    <w:tmpl w:val="8A92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DA4921"/>
    <w:multiLevelType w:val="multilevel"/>
    <w:tmpl w:val="8F5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5C0C3E"/>
    <w:multiLevelType w:val="multilevel"/>
    <w:tmpl w:val="A0A6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D31504"/>
    <w:multiLevelType w:val="multilevel"/>
    <w:tmpl w:val="C31A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1A1229"/>
    <w:multiLevelType w:val="multilevel"/>
    <w:tmpl w:val="E7BC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45CB7"/>
    <w:multiLevelType w:val="multilevel"/>
    <w:tmpl w:val="5D26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724A8C"/>
    <w:multiLevelType w:val="hybridMultilevel"/>
    <w:tmpl w:val="26782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5F2DE4"/>
    <w:multiLevelType w:val="multilevel"/>
    <w:tmpl w:val="90C2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D77DF7"/>
    <w:multiLevelType w:val="multilevel"/>
    <w:tmpl w:val="614E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5B04F3"/>
    <w:multiLevelType w:val="multilevel"/>
    <w:tmpl w:val="1F24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F45B6"/>
    <w:multiLevelType w:val="multilevel"/>
    <w:tmpl w:val="11D8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64843">
    <w:abstractNumId w:val="8"/>
  </w:num>
  <w:num w:numId="2" w16cid:durableId="578172574">
    <w:abstractNumId w:val="27"/>
  </w:num>
  <w:num w:numId="3" w16cid:durableId="44454698">
    <w:abstractNumId w:val="31"/>
  </w:num>
  <w:num w:numId="4" w16cid:durableId="875044705">
    <w:abstractNumId w:val="1"/>
  </w:num>
  <w:num w:numId="5" w16cid:durableId="1522820849">
    <w:abstractNumId w:val="6"/>
  </w:num>
  <w:num w:numId="6" w16cid:durableId="54940789">
    <w:abstractNumId w:val="14"/>
  </w:num>
  <w:num w:numId="7" w16cid:durableId="1934043526">
    <w:abstractNumId w:val="25"/>
  </w:num>
  <w:num w:numId="8" w16cid:durableId="646545089">
    <w:abstractNumId w:val="4"/>
  </w:num>
  <w:num w:numId="9" w16cid:durableId="69697161">
    <w:abstractNumId w:val="15"/>
  </w:num>
  <w:num w:numId="10" w16cid:durableId="921449371">
    <w:abstractNumId w:val="2"/>
  </w:num>
  <w:num w:numId="11" w16cid:durableId="1643077096">
    <w:abstractNumId w:val="18"/>
  </w:num>
  <w:num w:numId="12" w16cid:durableId="1146164655">
    <w:abstractNumId w:val="30"/>
  </w:num>
  <w:num w:numId="13" w16cid:durableId="1675255236">
    <w:abstractNumId w:val="23"/>
  </w:num>
  <w:num w:numId="14" w16cid:durableId="1990481182">
    <w:abstractNumId w:val="5"/>
  </w:num>
  <w:num w:numId="15" w16cid:durableId="41487834">
    <w:abstractNumId w:val="24"/>
  </w:num>
  <w:num w:numId="16" w16cid:durableId="1006395986">
    <w:abstractNumId w:val="0"/>
  </w:num>
  <w:num w:numId="17" w16cid:durableId="2048337068">
    <w:abstractNumId w:val="12"/>
  </w:num>
  <w:num w:numId="18" w16cid:durableId="1494758449">
    <w:abstractNumId w:val="3"/>
  </w:num>
  <w:num w:numId="19" w16cid:durableId="1798602101">
    <w:abstractNumId w:val="29"/>
  </w:num>
  <w:num w:numId="20" w16cid:durableId="1323434845">
    <w:abstractNumId w:val="11"/>
  </w:num>
  <w:num w:numId="21" w16cid:durableId="1563522480">
    <w:abstractNumId w:val="16"/>
  </w:num>
  <w:num w:numId="22" w16cid:durableId="697973835">
    <w:abstractNumId w:val="20"/>
  </w:num>
  <w:num w:numId="23" w16cid:durableId="243954043">
    <w:abstractNumId w:val="17"/>
  </w:num>
  <w:num w:numId="24" w16cid:durableId="619652996">
    <w:abstractNumId w:val="19"/>
  </w:num>
  <w:num w:numId="25" w16cid:durableId="504243000">
    <w:abstractNumId w:val="13"/>
  </w:num>
  <w:num w:numId="26" w16cid:durableId="563297462">
    <w:abstractNumId w:val="22"/>
  </w:num>
  <w:num w:numId="27" w16cid:durableId="1502624859">
    <w:abstractNumId w:val="21"/>
  </w:num>
  <w:num w:numId="28" w16cid:durableId="1753508905">
    <w:abstractNumId w:val="28"/>
  </w:num>
  <w:num w:numId="29" w16cid:durableId="2116094983">
    <w:abstractNumId w:val="10"/>
  </w:num>
  <w:num w:numId="30" w16cid:durableId="111638031">
    <w:abstractNumId w:val="9"/>
  </w:num>
  <w:num w:numId="31" w16cid:durableId="799227508">
    <w:abstractNumId w:val="26"/>
  </w:num>
  <w:num w:numId="32" w16cid:durableId="145628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213A2"/>
    <w:rsid w:val="00067E95"/>
    <w:rsid w:val="00072065"/>
    <w:rsid w:val="000B61CD"/>
    <w:rsid w:val="000E4296"/>
    <w:rsid w:val="000F6973"/>
    <w:rsid w:val="00127014"/>
    <w:rsid w:val="00141B4E"/>
    <w:rsid w:val="00157318"/>
    <w:rsid w:val="00187220"/>
    <w:rsid w:val="001C2CD5"/>
    <w:rsid w:val="001F544A"/>
    <w:rsid w:val="0021017D"/>
    <w:rsid w:val="0021316B"/>
    <w:rsid w:val="00215584"/>
    <w:rsid w:val="002240E8"/>
    <w:rsid w:val="00232096"/>
    <w:rsid w:val="00232404"/>
    <w:rsid w:val="00283F8F"/>
    <w:rsid w:val="00284399"/>
    <w:rsid w:val="002E607B"/>
    <w:rsid w:val="002E7BC7"/>
    <w:rsid w:val="002F2193"/>
    <w:rsid w:val="002F29DB"/>
    <w:rsid w:val="003134AE"/>
    <w:rsid w:val="00336DC7"/>
    <w:rsid w:val="00364BDB"/>
    <w:rsid w:val="003808CB"/>
    <w:rsid w:val="003863AB"/>
    <w:rsid w:val="003C4263"/>
    <w:rsid w:val="003F7118"/>
    <w:rsid w:val="004251A8"/>
    <w:rsid w:val="004A3DF9"/>
    <w:rsid w:val="004B3015"/>
    <w:rsid w:val="004B6D43"/>
    <w:rsid w:val="00530F46"/>
    <w:rsid w:val="006004AA"/>
    <w:rsid w:val="00642578"/>
    <w:rsid w:val="00677ABE"/>
    <w:rsid w:val="00684602"/>
    <w:rsid w:val="006B5B79"/>
    <w:rsid w:val="006E1F6E"/>
    <w:rsid w:val="006F011E"/>
    <w:rsid w:val="006F60F3"/>
    <w:rsid w:val="0070709C"/>
    <w:rsid w:val="00714039"/>
    <w:rsid w:val="007232A8"/>
    <w:rsid w:val="00753AE2"/>
    <w:rsid w:val="0076704D"/>
    <w:rsid w:val="00784DBC"/>
    <w:rsid w:val="007B05E9"/>
    <w:rsid w:val="007E322A"/>
    <w:rsid w:val="008214D7"/>
    <w:rsid w:val="00826C87"/>
    <w:rsid w:val="00847CED"/>
    <w:rsid w:val="00864F72"/>
    <w:rsid w:val="00867994"/>
    <w:rsid w:val="0087286F"/>
    <w:rsid w:val="008B35B0"/>
    <w:rsid w:val="008C0321"/>
    <w:rsid w:val="009116DB"/>
    <w:rsid w:val="00941E54"/>
    <w:rsid w:val="009F281D"/>
    <w:rsid w:val="00A0617B"/>
    <w:rsid w:val="00A372C0"/>
    <w:rsid w:val="00A53229"/>
    <w:rsid w:val="00A6449E"/>
    <w:rsid w:val="00AA4CBB"/>
    <w:rsid w:val="00AA6614"/>
    <w:rsid w:val="00AD3141"/>
    <w:rsid w:val="00B226C9"/>
    <w:rsid w:val="00B24B26"/>
    <w:rsid w:val="00B812CA"/>
    <w:rsid w:val="00B91959"/>
    <w:rsid w:val="00BD71F7"/>
    <w:rsid w:val="00BE3E68"/>
    <w:rsid w:val="00BE4844"/>
    <w:rsid w:val="00C04203"/>
    <w:rsid w:val="00C457CC"/>
    <w:rsid w:val="00C51D06"/>
    <w:rsid w:val="00C77D1B"/>
    <w:rsid w:val="00CA15C8"/>
    <w:rsid w:val="00CA73FF"/>
    <w:rsid w:val="00CB1A0E"/>
    <w:rsid w:val="00CD25EE"/>
    <w:rsid w:val="00CF742C"/>
    <w:rsid w:val="00D0023C"/>
    <w:rsid w:val="00D07AD1"/>
    <w:rsid w:val="00D155D7"/>
    <w:rsid w:val="00D25173"/>
    <w:rsid w:val="00D36B5A"/>
    <w:rsid w:val="00DC1DFA"/>
    <w:rsid w:val="00E12511"/>
    <w:rsid w:val="00E16D69"/>
    <w:rsid w:val="00E546AA"/>
    <w:rsid w:val="00E65D9B"/>
    <w:rsid w:val="00E7344E"/>
    <w:rsid w:val="00ED27F4"/>
    <w:rsid w:val="00EF4FBB"/>
    <w:rsid w:val="00F0085D"/>
    <w:rsid w:val="00F066E7"/>
    <w:rsid w:val="00F116BD"/>
    <w:rsid w:val="00F21E60"/>
    <w:rsid w:val="00F27F92"/>
    <w:rsid w:val="00F60B42"/>
    <w:rsid w:val="00FA614F"/>
    <w:rsid w:val="00FE1B0D"/>
    <w:rsid w:val="00FE4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60AC"/>
  <w15:docId w15:val="{78E7C3D6-D1C3-4A4C-A176-7B412F32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21017D"/>
  </w:style>
  <w:style w:type="character" w:styleId="CommentReference">
    <w:name w:val="annotation reference"/>
    <w:basedOn w:val="DefaultParagraphFont"/>
    <w:uiPriority w:val="99"/>
    <w:semiHidden/>
    <w:unhideWhenUsed/>
    <w:rsid w:val="00284399"/>
    <w:rPr>
      <w:sz w:val="16"/>
      <w:szCs w:val="16"/>
    </w:rPr>
  </w:style>
  <w:style w:type="paragraph" w:styleId="CommentText">
    <w:name w:val="annotation text"/>
    <w:basedOn w:val="Normal"/>
    <w:link w:val="CommentTextChar"/>
    <w:uiPriority w:val="99"/>
    <w:unhideWhenUsed/>
    <w:rsid w:val="00284399"/>
    <w:pPr>
      <w:spacing w:line="240" w:lineRule="auto"/>
    </w:pPr>
    <w:rPr>
      <w:sz w:val="20"/>
      <w:szCs w:val="20"/>
    </w:rPr>
  </w:style>
  <w:style w:type="character" w:customStyle="1" w:styleId="CommentTextChar">
    <w:name w:val="Comment Text Char"/>
    <w:basedOn w:val="DefaultParagraphFont"/>
    <w:link w:val="CommentText"/>
    <w:uiPriority w:val="99"/>
    <w:rsid w:val="00284399"/>
    <w:rPr>
      <w:sz w:val="20"/>
      <w:szCs w:val="20"/>
    </w:rPr>
  </w:style>
  <w:style w:type="paragraph" w:styleId="CommentSubject">
    <w:name w:val="annotation subject"/>
    <w:basedOn w:val="CommentText"/>
    <w:next w:val="CommentText"/>
    <w:link w:val="CommentSubjectChar"/>
    <w:uiPriority w:val="99"/>
    <w:semiHidden/>
    <w:unhideWhenUsed/>
    <w:rsid w:val="00284399"/>
    <w:rPr>
      <w:b/>
      <w:bCs/>
    </w:rPr>
  </w:style>
  <w:style w:type="character" w:customStyle="1" w:styleId="CommentSubjectChar">
    <w:name w:val="Comment Subject Char"/>
    <w:basedOn w:val="CommentTextChar"/>
    <w:link w:val="CommentSubject"/>
    <w:uiPriority w:val="99"/>
    <w:semiHidden/>
    <w:rsid w:val="00284399"/>
    <w:rPr>
      <w:b/>
      <w:bCs/>
      <w:sz w:val="20"/>
      <w:szCs w:val="20"/>
    </w:rPr>
  </w:style>
  <w:style w:type="paragraph" w:styleId="Revision">
    <w:name w:val="Revision"/>
    <w:hidden/>
    <w:uiPriority w:val="99"/>
    <w:semiHidden/>
    <w:rsid w:val="00284399"/>
    <w:pPr>
      <w:spacing w:after="0" w:line="240" w:lineRule="auto"/>
    </w:pPr>
  </w:style>
  <w:style w:type="paragraph" w:styleId="NormalWeb">
    <w:name w:val="Normal (Web)"/>
    <w:basedOn w:val="Normal"/>
    <w:uiPriority w:val="99"/>
    <w:unhideWhenUsed/>
    <w:rsid w:val="00826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7994"/>
  </w:style>
  <w:style w:type="character" w:customStyle="1" w:styleId="eop">
    <w:name w:val="eop"/>
    <w:basedOn w:val="DefaultParagraphFont"/>
    <w:rsid w:val="00867994"/>
  </w:style>
  <w:style w:type="paragraph" w:customStyle="1" w:styleId="paragraph">
    <w:name w:val="paragraph"/>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86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6CCB69E9E4E9BCBF865A8C9359C" ma:contentTypeVersion="16" ma:contentTypeDescription="Create a new document." ma:contentTypeScope="" ma:versionID="062f460aefed5f7039e4e5dde492d8c6">
  <xsd:schema xmlns:xsd="http://www.w3.org/2001/XMLSchema" xmlns:xs="http://www.w3.org/2001/XMLSchema" xmlns:p="http://schemas.microsoft.com/office/2006/metadata/properties" xmlns:ns2="f301a824-12ae-4b87-96ce-8bd46e178b0d" xmlns:ns3="004d13b7-96c3-4ca1-b4ae-a9ac1cf50d3f" targetNamespace="http://schemas.microsoft.com/office/2006/metadata/properties" ma:root="true" ma:fieldsID="30dabe4f60557786d9bd5e42747630e5" ns2:_="" ns3:_="">
    <xsd:import namespace="f301a824-12ae-4b87-96ce-8bd46e178b0d"/>
    <xsd:import namespace="004d13b7-96c3-4ca1-b4ae-a9ac1cf50d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1a824-12ae-4b87-96ce-8bd46e178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79bdcd2-fc57-4517-ad87-cbc1f9d6a93c}" ma:internalName="TaxCatchAll" ma:showField="CatchAllData" ma:web="f301a824-12ae-4b87-96ce-8bd46e178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d13b7-96c3-4ca1-b4ae-a9ac1cf50d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01a824-12ae-4b87-96ce-8bd46e178b0d" xsi:nil="true"/>
    <lcf76f155ced4ddcb4097134ff3c332f xmlns="004d13b7-96c3-4ca1-b4ae-a9ac1cf50d3f">
      <Terms xmlns="http://schemas.microsoft.com/office/infopath/2007/PartnerControls"/>
    </lcf76f155ced4ddcb4097134ff3c332f>
    <_dlc_DocId xmlns="f301a824-12ae-4b87-96ce-8bd46e178b0d">YDUQXXY7F45Q-1181653311-642635</_dlc_DocId>
    <_dlc_DocIdUrl xmlns="f301a824-12ae-4b87-96ce-8bd46e178b0d">
      <Url>https://aspriscs.sharepoint.com/sites/ClayHillCoxlease/_layouts/15/DocIdRedir.aspx?ID=YDUQXXY7F45Q-1181653311-642635</Url>
      <Description>YDUQXXY7F45Q-1181653311-642635</Description>
    </_dlc_DocIdUrl>
  </documentManagement>
</p:properties>
</file>

<file path=customXml/itemProps1.xml><?xml version="1.0" encoding="utf-8"?>
<ds:datastoreItem xmlns:ds="http://schemas.openxmlformats.org/officeDocument/2006/customXml" ds:itemID="{FB22BE7B-27F1-4F23-8820-0ECE48AEE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1a824-12ae-4b87-96ce-8bd46e178b0d"/>
    <ds:schemaRef ds:uri="004d13b7-96c3-4ca1-b4ae-a9ac1cf50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5A5B9-4DC9-4F20-A4AF-1EBDEF350C97}">
  <ds:schemaRefs>
    <ds:schemaRef ds:uri="http://schemas.microsoft.com/sharepoint/events"/>
  </ds:schemaRefs>
</ds:datastoreItem>
</file>

<file path=customXml/itemProps3.xml><?xml version="1.0" encoding="utf-8"?>
<ds:datastoreItem xmlns:ds="http://schemas.openxmlformats.org/officeDocument/2006/customXml" ds:itemID="{E45D9751-89B2-4755-A866-B03733D56C52}">
  <ds:schemaRefs>
    <ds:schemaRef ds:uri="http://schemas.microsoft.com/sharepoint/v3/contenttype/forms"/>
  </ds:schemaRefs>
</ds:datastoreItem>
</file>

<file path=customXml/itemProps4.xml><?xml version="1.0" encoding="utf-8"?>
<ds:datastoreItem xmlns:ds="http://schemas.openxmlformats.org/officeDocument/2006/customXml" ds:itemID="{2106E6A9-B6BB-4E6B-A3EF-C909C28EC382}">
  <ds:schemaRefs>
    <ds:schemaRef ds:uri="http://schemas.microsoft.com/office/2006/metadata/properties"/>
    <ds:schemaRef ds:uri="http://schemas.microsoft.com/office/infopath/2007/PartnerControls"/>
    <ds:schemaRef ds:uri="f301a824-12ae-4b87-96ce-8bd46e178b0d"/>
    <ds:schemaRef ds:uri="004d13b7-96c3-4ca1-b4ae-a9ac1cf50d3f"/>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Rickson</dc:creator>
  <cp:lastModifiedBy>Lisle Smith</cp:lastModifiedBy>
  <cp:revision>12</cp:revision>
  <dcterms:created xsi:type="dcterms:W3CDTF">2025-09-25T09:37:00Z</dcterms:created>
  <dcterms:modified xsi:type="dcterms:W3CDTF">2025-09-25T10:02:00Z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0x010100A239B6CCB69E9E4E9BCBF865A8C9359C</vt:lpwstr>
  </property>
  <property fmtid="{D5CDD505-2E9C-101B-9397-08002B2CF9AE}" pid="3" name="_dlc_DocIdItemGuid">
    <vt:lpwstr>a4d967c1-4787-441f-b84b-d25d0a809895</vt:lpwstr>
  </property>
  <property fmtid="{D5CDD505-2E9C-101B-9397-08002B2CF9AE}" pid="4" name="MediaServiceImageTags">
    <vt:lpwstr/>
  </property>
</Properties>
</file>