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14039" w:rsidRDefault="00D36B5A" w14:paraId="0D635386" w14:textId="7F1B09D1">
      <w:r>
        <w:rPr>
          <w:rFonts w:ascii="Tahoma" w:hAnsi="Tahoma" w:cs="Tahoma"/>
          <w:noProof/>
          <w:color w:val="365F91"/>
        </w:rPr>
        <w:drawing>
          <wp:anchor distT="0" distB="0" distL="114300" distR="114300" simplePos="0" relativeHeight="251658752" behindDoc="1" locked="0" layoutInCell="1" allowOverlap="1" wp14:anchorId="16B70E45" wp14:editId="3F7B1EAA">
            <wp:simplePos x="0" y="0"/>
            <wp:positionH relativeFrom="margin">
              <wp:align>left</wp:align>
            </wp:positionH>
            <wp:positionV relativeFrom="paragraph">
              <wp:posOffset>-621665</wp:posOffset>
            </wp:positionV>
            <wp:extent cx="1308100" cy="503770"/>
            <wp:effectExtent l="0" t="0" r="6350" b="0"/>
            <wp:wrapNone/>
            <wp:docPr id="1893084993" name="Picture 57"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84993" name="Picture 57" descr="A blue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8100" cy="503770"/>
                    </a:xfrm>
                    <a:prstGeom prst="rect">
                      <a:avLst/>
                    </a:prstGeom>
                  </pic:spPr>
                </pic:pic>
              </a:graphicData>
            </a:graphic>
          </wp:anchor>
        </w:drawing>
      </w:r>
    </w:p>
    <w:tbl>
      <w:tblPr>
        <w:tblStyle w:val="TableGrid"/>
        <w:tblW w:w="0" w:type="auto"/>
        <w:tblLook w:val="04A0" w:firstRow="1" w:lastRow="0" w:firstColumn="1" w:lastColumn="0" w:noHBand="0" w:noVBand="1"/>
      </w:tblPr>
      <w:tblGrid>
        <w:gridCol w:w="3435"/>
        <w:gridCol w:w="5581"/>
      </w:tblGrid>
      <w:tr w:rsidR="007B05E9" w:rsidTr="4A262852" w14:paraId="11B6E6F0" w14:textId="77777777">
        <w:tc>
          <w:tcPr>
            <w:tcW w:w="3435" w:type="dxa"/>
            <w:shd w:val="clear" w:color="auto" w:fill="DBE5F1" w:themeFill="accent1" w:themeFillTint="33"/>
            <w:tcMar/>
          </w:tcPr>
          <w:p w:rsidRPr="00847CED" w:rsidR="007B05E9" w:rsidRDefault="007B05E9" w14:paraId="3687E9E9" w14:textId="000B2BE8">
            <w:pPr>
              <w:rPr>
                <w:b/>
              </w:rPr>
            </w:pPr>
            <w:r w:rsidRPr="00847CED">
              <w:rPr>
                <w:b/>
              </w:rPr>
              <w:t>Local Procedure Title</w:t>
            </w:r>
          </w:p>
        </w:tc>
        <w:tc>
          <w:tcPr>
            <w:tcW w:w="5581" w:type="dxa"/>
            <w:tcMar/>
          </w:tcPr>
          <w:p w:rsidRPr="001F544A" w:rsidR="007B05E9" w:rsidP="00C51D06" w:rsidRDefault="001C2CD5" w14:paraId="17256C42" w14:textId="77777777">
            <w:pPr>
              <w:rPr>
                <w:b/>
              </w:rPr>
            </w:pPr>
            <w:r>
              <w:rPr>
                <w:b/>
              </w:rPr>
              <w:t>Curriculum</w:t>
            </w:r>
          </w:p>
        </w:tc>
      </w:tr>
      <w:tr w:rsidR="007B05E9" w:rsidTr="4A262852" w14:paraId="160F7197" w14:textId="77777777">
        <w:tc>
          <w:tcPr>
            <w:tcW w:w="3435" w:type="dxa"/>
            <w:shd w:val="clear" w:color="auto" w:fill="DBE5F1" w:themeFill="accent1" w:themeFillTint="33"/>
            <w:tcMar/>
          </w:tcPr>
          <w:p w:rsidRPr="00847CED" w:rsidR="007B05E9" w:rsidRDefault="007B05E9" w14:paraId="30C63930" w14:textId="41DE32E2">
            <w:pPr>
              <w:rPr>
                <w:b/>
              </w:rPr>
            </w:pPr>
            <w:r w:rsidRPr="00847CED">
              <w:rPr>
                <w:b/>
              </w:rPr>
              <w:t>S</w:t>
            </w:r>
            <w:r w:rsidR="00CA15C8">
              <w:rPr>
                <w:b/>
              </w:rPr>
              <w:t>ervice</w:t>
            </w:r>
          </w:p>
        </w:tc>
        <w:tc>
          <w:tcPr>
            <w:tcW w:w="5581" w:type="dxa"/>
            <w:tcMar/>
          </w:tcPr>
          <w:p w:rsidRPr="001F544A" w:rsidR="007B05E9" w:rsidRDefault="007B05E9" w14:paraId="3F8CC286" w14:textId="77777777">
            <w:pPr>
              <w:rPr>
                <w:b/>
              </w:rPr>
            </w:pPr>
          </w:p>
        </w:tc>
      </w:tr>
      <w:tr w:rsidR="007B05E9" w:rsidTr="4A262852" w14:paraId="3ED316BC" w14:textId="77777777">
        <w:tc>
          <w:tcPr>
            <w:tcW w:w="3435" w:type="dxa"/>
            <w:shd w:val="clear" w:color="auto" w:fill="DBE5F1" w:themeFill="accent1" w:themeFillTint="33"/>
            <w:tcMar/>
          </w:tcPr>
          <w:p w:rsidRPr="00847CED" w:rsidR="007B05E9" w:rsidP="00847CED" w:rsidRDefault="000E4296" w14:paraId="69855856" w14:textId="3E9B7086">
            <w:pPr>
              <w:rPr>
                <w:b/>
              </w:rPr>
            </w:pPr>
            <w:r>
              <w:rPr>
                <w:b/>
              </w:rPr>
              <w:t>A</w:t>
            </w:r>
            <w:r w:rsidRPr="00847CED" w:rsidR="007B05E9">
              <w:rPr>
                <w:b/>
              </w:rPr>
              <w:t xml:space="preserve">CS Policy </w:t>
            </w:r>
            <w:r w:rsidR="00847CED">
              <w:rPr>
                <w:b/>
              </w:rPr>
              <w:t>number and t</w:t>
            </w:r>
            <w:r w:rsidRPr="00847CED" w:rsidR="00847CED">
              <w:rPr>
                <w:b/>
              </w:rPr>
              <w:t>itle</w:t>
            </w:r>
          </w:p>
        </w:tc>
        <w:tc>
          <w:tcPr>
            <w:tcW w:w="5581" w:type="dxa"/>
            <w:tcMar/>
          </w:tcPr>
          <w:p w:rsidRPr="001F544A" w:rsidR="007B05E9" w:rsidP="001C2CD5" w:rsidRDefault="004251A8" w14:paraId="3B9ADB12" w14:textId="77597923">
            <w:pPr>
              <w:rPr>
                <w:b/>
              </w:rPr>
            </w:pPr>
            <w:r>
              <w:rPr>
                <w:b/>
              </w:rPr>
              <w:t>A</w:t>
            </w:r>
            <w:r w:rsidRPr="001F544A" w:rsidR="00BE4844">
              <w:rPr>
                <w:b/>
              </w:rPr>
              <w:t xml:space="preserve">CS </w:t>
            </w:r>
            <w:r w:rsidR="00B24B26">
              <w:rPr>
                <w:b/>
              </w:rPr>
              <w:t>3</w:t>
            </w:r>
            <w:r w:rsidR="001C2CD5">
              <w:rPr>
                <w:b/>
              </w:rPr>
              <w:t>1</w:t>
            </w:r>
            <w:r w:rsidRPr="001F544A" w:rsidR="00BE4844">
              <w:rPr>
                <w:b/>
              </w:rPr>
              <w:t xml:space="preserve"> </w:t>
            </w:r>
            <w:r w:rsidR="001C2CD5">
              <w:rPr>
                <w:b/>
              </w:rPr>
              <w:t>Curriculum</w:t>
            </w:r>
          </w:p>
        </w:tc>
      </w:tr>
      <w:tr w:rsidR="008C0321" w:rsidTr="4A262852" w14:paraId="4E281FEC" w14:textId="77777777">
        <w:tc>
          <w:tcPr>
            <w:tcW w:w="3435" w:type="dxa"/>
            <w:shd w:val="clear" w:color="auto" w:fill="DBE5F1" w:themeFill="accent1" w:themeFillTint="33"/>
            <w:tcMar/>
          </w:tcPr>
          <w:p w:rsidRPr="00847CED" w:rsidR="008C0321" w:rsidP="00847CED" w:rsidRDefault="008C0321" w14:paraId="431BF1EE" w14:textId="77777777">
            <w:pPr>
              <w:rPr>
                <w:b/>
              </w:rPr>
            </w:pPr>
            <w:r>
              <w:rPr>
                <w:b/>
              </w:rPr>
              <w:t>Local Procedure template reference</w:t>
            </w:r>
          </w:p>
        </w:tc>
        <w:tc>
          <w:tcPr>
            <w:tcW w:w="5581" w:type="dxa"/>
            <w:tcMar/>
          </w:tcPr>
          <w:p w:rsidRPr="001F544A" w:rsidR="008C0321" w:rsidP="00E12511" w:rsidRDefault="004251A8" w14:paraId="221D03D1" w14:textId="2E3DEB47">
            <w:pPr>
              <w:rPr>
                <w:b/>
              </w:rPr>
            </w:pPr>
            <w:r>
              <w:rPr>
                <w:b/>
              </w:rPr>
              <w:t>A</w:t>
            </w:r>
            <w:r w:rsidRPr="001F544A" w:rsidR="00BE4844">
              <w:rPr>
                <w:b/>
              </w:rPr>
              <w:t xml:space="preserve">CS LP </w:t>
            </w:r>
            <w:r w:rsidR="00B24B26">
              <w:rPr>
                <w:b/>
              </w:rPr>
              <w:t>3</w:t>
            </w:r>
            <w:r w:rsidR="001C2CD5">
              <w:rPr>
                <w:b/>
              </w:rPr>
              <w:t>1</w:t>
            </w:r>
            <w:r w:rsidRPr="001F544A" w:rsidR="00BE4844">
              <w:rPr>
                <w:b/>
              </w:rPr>
              <w:t xml:space="preserve"> </w:t>
            </w:r>
          </w:p>
        </w:tc>
      </w:tr>
      <w:tr w:rsidR="00316D70" w:rsidTr="4A262852" w14:paraId="0B0DFB25" w14:textId="77777777">
        <w:tc>
          <w:tcPr>
            <w:tcW w:w="3435" w:type="dxa"/>
            <w:shd w:val="clear" w:color="auto" w:fill="DBE5F1" w:themeFill="accent1" w:themeFillTint="33"/>
            <w:tcMar/>
          </w:tcPr>
          <w:p w:rsidRPr="00847CED" w:rsidR="00316D70" w:rsidP="00316D70" w:rsidRDefault="00316D70" w14:paraId="745D8702" w14:textId="77777777">
            <w:pPr>
              <w:rPr>
                <w:b/>
              </w:rPr>
            </w:pPr>
            <w:r w:rsidRPr="00847CED">
              <w:rPr>
                <w:b/>
              </w:rPr>
              <w:t>Local Procedure date</w:t>
            </w:r>
          </w:p>
        </w:tc>
        <w:tc>
          <w:tcPr>
            <w:tcW w:w="5581" w:type="dxa"/>
            <w:tcBorders>
              <w:top w:val="single" w:color="auto" w:sz="6" w:space="0"/>
              <w:left w:val="single" w:color="auto" w:sz="6" w:space="0"/>
              <w:bottom w:val="single" w:color="auto" w:sz="6" w:space="0"/>
              <w:right w:val="single" w:color="auto" w:sz="6" w:space="0"/>
            </w:tcBorders>
            <w:tcMar/>
          </w:tcPr>
          <w:p w:rsidR="00316D70" w:rsidP="00316D70" w:rsidRDefault="00316D70" w14:paraId="4311559B" w14:textId="5305FBE2">
            <w:r>
              <w:rPr>
                <w:rStyle w:val="normaltextrun"/>
                <w:rFonts w:ascii="Calibri" w:hAnsi="Calibri" w:cs="Calibri"/>
              </w:rPr>
              <w:t>22/09/2025</w:t>
            </w:r>
            <w:r>
              <w:rPr>
                <w:rStyle w:val="eop"/>
                <w:rFonts w:ascii="Calibri" w:hAnsi="Calibri" w:cs="Calibri"/>
              </w:rPr>
              <w:t> </w:t>
            </w:r>
          </w:p>
        </w:tc>
      </w:tr>
      <w:tr w:rsidR="00316D70" w:rsidTr="4A262852" w14:paraId="5323C590" w14:textId="77777777">
        <w:tc>
          <w:tcPr>
            <w:tcW w:w="3435" w:type="dxa"/>
            <w:shd w:val="clear" w:color="auto" w:fill="DBE5F1" w:themeFill="accent1" w:themeFillTint="33"/>
            <w:tcMar/>
          </w:tcPr>
          <w:p w:rsidRPr="00847CED" w:rsidR="00316D70" w:rsidP="00316D70" w:rsidRDefault="00316D70" w14:paraId="32687A22" w14:textId="77777777">
            <w:pPr>
              <w:rPr>
                <w:b/>
              </w:rPr>
            </w:pPr>
            <w:r w:rsidRPr="00847CED">
              <w:rPr>
                <w:b/>
              </w:rPr>
              <w:t>Local Procedure review date</w:t>
            </w:r>
          </w:p>
        </w:tc>
        <w:tc>
          <w:tcPr>
            <w:tcW w:w="5581" w:type="dxa"/>
            <w:tcBorders>
              <w:top w:val="single" w:color="auto" w:sz="6" w:space="0"/>
              <w:left w:val="single" w:color="auto" w:sz="6" w:space="0"/>
              <w:bottom w:val="single" w:color="auto" w:sz="6" w:space="0"/>
              <w:right w:val="single" w:color="auto" w:sz="6" w:space="0"/>
            </w:tcBorders>
            <w:tcMar/>
          </w:tcPr>
          <w:p w:rsidR="00316D70" w:rsidP="00316D70" w:rsidRDefault="00316D70" w14:paraId="6D222CF6" w14:textId="279CF002">
            <w:r>
              <w:rPr>
                <w:rStyle w:val="normaltextrun"/>
                <w:rFonts w:ascii="Calibri" w:hAnsi="Calibri" w:cs="Calibri"/>
              </w:rPr>
              <w:t>Annually</w:t>
            </w:r>
            <w:r>
              <w:rPr>
                <w:rStyle w:val="eop"/>
                <w:rFonts w:ascii="Calibri" w:hAnsi="Calibri" w:cs="Calibri"/>
              </w:rPr>
              <w:t> </w:t>
            </w:r>
          </w:p>
        </w:tc>
      </w:tr>
      <w:tr w:rsidR="00316D70" w:rsidTr="4A262852" w14:paraId="3298E550" w14:textId="77777777">
        <w:tc>
          <w:tcPr>
            <w:tcW w:w="3435" w:type="dxa"/>
            <w:shd w:val="clear" w:color="auto" w:fill="DBE5F1" w:themeFill="accent1" w:themeFillTint="33"/>
            <w:tcMar/>
          </w:tcPr>
          <w:p w:rsidRPr="00847CED" w:rsidR="00316D70" w:rsidP="00316D70" w:rsidRDefault="00316D70" w14:paraId="1E5F0A3E" w14:textId="77777777">
            <w:pPr>
              <w:rPr>
                <w:b/>
              </w:rPr>
            </w:pPr>
            <w:r w:rsidRPr="00847CED">
              <w:rPr>
                <w:b/>
              </w:rPr>
              <w:t>Local Procedure Author(s)</w:t>
            </w:r>
          </w:p>
        </w:tc>
        <w:tc>
          <w:tcPr>
            <w:tcW w:w="5581" w:type="dxa"/>
            <w:tcBorders>
              <w:top w:val="single" w:color="auto" w:sz="6" w:space="0"/>
              <w:left w:val="single" w:color="auto" w:sz="6" w:space="0"/>
              <w:bottom w:val="single" w:color="auto" w:sz="6" w:space="0"/>
              <w:right w:val="single" w:color="auto" w:sz="6" w:space="0"/>
            </w:tcBorders>
            <w:tcMar/>
          </w:tcPr>
          <w:p w:rsidR="00316D70" w:rsidP="00316D70" w:rsidRDefault="00316D70" w14:paraId="3F18B9B3" w14:textId="4AB04D93">
            <w:r>
              <w:rPr>
                <w:rStyle w:val="normaltextrun"/>
                <w:rFonts w:ascii="Calibri" w:hAnsi="Calibri" w:cs="Calibri"/>
              </w:rPr>
              <w:t>Lisle Smith</w:t>
            </w:r>
            <w:r>
              <w:rPr>
                <w:rStyle w:val="eop"/>
                <w:rFonts w:ascii="Calibri" w:hAnsi="Calibri" w:cs="Calibri"/>
              </w:rPr>
              <w:t> </w:t>
            </w:r>
          </w:p>
        </w:tc>
      </w:tr>
      <w:tr w:rsidR="00316D70" w:rsidTr="4A262852" w14:paraId="6D4F7E43" w14:textId="77777777">
        <w:tc>
          <w:tcPr>
            <w:tcW w:w="3435" w:type="dxa"/>
            <w:shd w:val="clear" w:color="auto" w:fill="DBE5F1" w:themeFill="accent1" w:themeFillTint="33"/>
            <w:tcMar/>
          </w:tcPr>
          <w:p w:rsidRPr="00847CED" w:rsidR="00316D70" w:rsidP="00316D70" w:rsidRDefault="00316D70" w14:paraId="2EA20D5F" w14:textId="77777777">
            <w:pPr>
              <w:rPr>
                <w:b/>
              </w:rPr>
            </w:pPr>
            <w:r w:rsidRPr="00847CED">
              <w:rPr>
                <w:b/>
              </w:rPr>
              <w:t>Local Procedure Ratification</w:t>
            </w:r>
          </w:p>
        </w:tc>
        <w:tc>
          <w:tcPr>
            <w:tcW w:w="5581" w:type="dxa"/>
            <w:tcBorders>
              <w:top w:val="single" w:color="auto" w:sz="6" w:space="0"/>
              <w:left w:val="single" w:color="auto" w:sz="6" w:space="0"/>
              <w:bottom w:val="single" w:color="auto" w:sz="6" w:space="0"/>
              <w:right w:val="single" w:color="auto" w:sz="6" w:space="0"/>
            </w:tcBorders>
            <w:tcMar/>
          </w:tcPr>
          <w:p w:rsidRPr="008C0321" w:rsidR="00316D70" w:rsidP="00316D70" w:rsidRDefault="00316D70" w14:paraId="19E7D127" w14:textId="4F03FAF5">
            <w:pPr>
              <w:rPr>
                <w:sz w:val="20"/>
                <w:szCs w:val="20"/>
              </w:rPr>
            </w:pPr>
            <w:r w:rsidRPr="4A262852" w:rsidR="00316D70">
              <w:rPr>
                <w:rStyle w:val="normaltextrun"/>
                <w:rFonts w:ascii="Calibri" w:hAnsi="Calibri" w:cs="Calibri"/>
                <w:sz w:val="20"/>
                <w:szCs w:val="20"/>
              </w:rPr>
              <w:t xml:space="preserve">Checked and </w:t>
            </w:r>
            <w:r w:rsidRPr="4A262852" w:rsidR="41E277C5">
              <w:rPr>
                <w:rStyle w:val="normaltextrun"/>
                <w:rFonts w:ascii="Calibri" w:hAnsi="Calibri" w:cs="Calibri"/>
                <w:sz w:val="20"/>
                <w:szCs w:val="20"/>
              </w:rPr>
              <w:t>approved</w:t>
            </w:r>
            <w:r w:rsidRPr="4A262852" w:rsidR="00316D70">
              <w:rPr>
                <w:rStyle w:val="normaltextrun"/>
                <w:rFonts w:ascii="Calibri" w:hAnsi="Calibri" w:cs="Calibri"/>
                <w:sz w:val="20"/>
                <w:szCs w:val="20"/>
              </w:rPr>
              <w:t xml:space="preserve"> by:        E Potterton                                     </w:t>
            </w:r>
            <w:r w:rsidRPr="4A262852" w:rsidR="00316D70">
              <w:rPr>
                <w:rStyle w:val="eop"/>
                <w:rFonts w:ascii="Calibri" w:hAnsi="Calibri" w:cs="Calibri"/>
                <w:sz w:val="20"/>
                <w:szCs w:val="20"/>
              </w:rPr>
              <w:t> </w:t>
            </w:r>
          </w:p>
        </w:tc>
      </w:tr>
    </w:tbl>
    <w:p w:rsidRPr="00847CED" w:rsidR="00847CED" w:rsidP="00847CED" w:rsidRDefault="00847CED" w14:paraId="1DABB9EB" w14:textId="77777777"/>
    <w:tbl>
      <w:tblPr>
        <w:tblStyle w:val="TableGrid"/>
        <w:tblW w:w="9050" w:type="dxa"/>
        <w:tblInd w:w="-37" w:type="dxa"/>
        <w:tblLook w:val="04A0" w:firstRow="1" w:lastRow="0" w:firstColumn="1" w:lastColumn="0" w:noHBand="0" w:noVBand="1"/>
      </w:tblPr>
      <w:tblGrid>
        <w:gridCol w:w="9050"/>
      </w:tblGrid>
      <w:tr w:rsidRPr="0021017D" w:rsidR="00316D70" w:rsidTr="4A262852" w14:paraId="3258DDE7" w14:textId="77777777">
        <w:trPr>
          <w:trHeight w:val="450"/>
        </w:trPr>
        <w:tc>
          <w:tcPr>
            <w:tcW w:w="9050" w:type="dxa"/>
            <w:tcBorders>
              <w:top w:val="single" w:color="auto" w:sz="6" w:space="0"/>
              <w:left w:val="single" w:color="auto" w:sz="6" w:space="0"/>
              <w:bottom w:val="single" w:color="auto" w:sz="6" w:space="0"/>
              <w:right w:val="single" w:color="auto" w:sz="6" w:space="0"/>
            </w:tcBorders>
            <w:tcMar/>
          </w:tcPr>
          <w:p w:rsidRPr="0021017D" w:rsidR="00316D70" w:rsidP="00316D70" w:rsidRDefault="00316D70" w14:paraId="60081D4C" w14:textId="7C44713C">
            <w:pPr>
              <w:pStyle w:val="ListParagraph"/>
              <w:numPr>
                <w:ilvl w:val="0"/>
                <w:numId w:val="2"/>
              </w:numPr>
              <w:rPr>
                <w:b/>
              </w:rPr>
            </w:pPr>
            <w:r>
              <w:rPr>
                <w:rStyle w:val="normaltextrun"/>
                <w:rFonts w:ascii="Calibri" w:hAnsi="Calibri" w:cs="Calibri"/>
                <w:b/>
                <w:bCs/>
              </w:rPr>
              <w:t>Rationale, Aims &amp; Outcomes </w:t>
            </w:r>
            <w:r>
              <w:rPr>
                <w:rStyle w:val="normaltextrun"/>
                <w:rFonts w:ascii="Calibri" w:hAnsi="Calibri" w:cs="Calibri"/>
              </w:rPr>
              <w:t> </w:t>
            </w:r>
            <w:r>
              <w:rPr>
                <w:rStyle w:val="eop"/>
                <w:rFonts w:ascii="Calibri" w:hAnsi="Calibri" w:cs="Calibri"/>
              </w:rPr>
              <w:t> </w:t>
            </w:r>
          </w:p>
        </w:tc>
      </w:tr>
      <w:tr w:rsidRPr="0021017D" w:rsidR="00316D70" w:rsidTr="4A262852" w14:paraId="2A0A0350" w14:textId="77777777">
        <w:tc>
          <w:tcPr>
            <w:tcW w:w="9050" w:type="dxa"/>
            <w:tcBorders>
              <w:top w:val="single" w:color="auto" w:sz="6" w:space="0"/>
              <w:left w:val="single" w:color="auto" w:sz="6" w:space="0"/>
              <w:bottom w:val="single" w:color="auto" w:sz="6" w:space="0"/>
              <w:right w:val="single" w:color="auto" w:sz="6" w:space="0"/>
            </w:tcBorders>
            <w:tcMar/>
          </w:tcPr>
          <w:p w:rsidR="00316D70" w:rsidP="4A262852" w:rsidRDefault="00316D70" w14:paraId="68B8FBB6" w14:textId="77777777">
            <w:pPr>
              <w:pStyle w:val="paragraph"/>
              <w:spacing w:before="240" w:beforeAutospacing="off" w:after="0" w:afterAutospacing="off"/>
              <w:ind w:left="315" w:hanging="315"/>
              <w:jc w:val="both"/>
              <w:textAlignment w:val="baseline"/>
              <w:rPr>
                <w:rFonts w:ascii="Segoe UI" w:hAnsi="Segoe UI" w:cs="Segoe UI"/>
                <w:sz w:val="18"/>
                <w:szCs w:val="18"/>
              </w:rPr>
            </w:pPr>
            <w:r w:rsidRPr="4A262852" w:rsidR="00316D70">
              <w:rPr>
                <w:rStyle w:val="normaltextrun"/>
                <w:rFonts w:ascii="Calibri" w:hAnsi="Calibri" w:cs="Calibri"/>
                <w:b w:val="1"/>
                <w:bCs w:val="1"/>
                <w:sz w:val="22"/>
                <w:szCs w:val="22"/>
              </w:rPr>
              <w:t>Greatnes</w:t>
            </w:r>
            <w:r w:rsidRPr="4A262852" w:rsidR="00316D70">
              <w:rPr>
                <w:rStyle w:val="normaltextrun"/>
                <w:rFonts w:ascii="Calibri" w:hAnsi="Calibri" w:cs="Calibri"/>
                <w:sz w:val="22"/>
                <w:szCs w:val="22"/>
              </w:rPr>
              <w:t>s – Maths mastery is the key in much of the curriculum </w:t>
            </w:r>
            <w:r w:rsidRPr="4A262852" w:rsidR="00316D70">
              <w:rPr>
                <w:rStyle w:val="eop"/>
                <w:rFonts w:ascii="Calibri" w:hAnsi="Calibri" w:cs="Calibri"/>
                <w:sz w:val="22"/>
                <w:szCs w:val="22"/>
              </w:rPr>
              <w:t> </w:t>
            </w:r>
          </w:p>
          <w:p w:rsidR="00316D70" w:rsidP="4A262852" w:rsidRDefault="00316D70" w14:paraId="1B9D6B22" w14:textId="77777777">
            <w:pPr>
              <w:pStyle w:val="paragraph"/>
              <w:spacing w:before="240" w:beforeAutospacing="off" w:after="0" w:afterAutospacing="off"/>
              <w:ind w:left="315" w:hanging="315"/>
              <w:jc w:val="both"/>
              <w:textAlignment w:val="baseline"/>
              <w:rPr>
                <w:rFonts w:ascii="Segoe UI" w:hAnsi="Segoe UI" w:cs="Segoe UI"/>
                <w:sz w:val="18"/>
                <w:szCs w:val="18"/>
              </w:rPr>
            </w:pPr>
            <w:r w:rsidRPr="4A262852" w:rsidR="00316D70">
              <w:rPr>
                <w:rStyle w:val="normaltextrun"/>
                <w:rFonts w:ascii="Calibri" w:hAnsi="Calibri" w:cs="Calibri"/>
                <w:b w:val="1"/>
                <w:bCs w:val="1"/>
                <w:sz w:val="22"/>
                <w:szCs w:val="22"/>
              </w:rPr>
              <w:t>Resilience</w:t>
            </w:r>
            <w:r w:rsidRPr="4A262852" w:rsidR="00316D70">
              <w:rPr>
                <w:rStyle w:val="normaltextrun"/>
                <w:rFonts w:ascii="Calibri" w:hAnsi="Calibri" w:cs="Calibri"/>
                <w:sz w:val="22"/>
                <w:szCs w:val="22"/>
              </w:rPr>
              <w:t xml:space="preserve"> – Learning to take risks in their learning </w:t>
            </w:r>
            <w:r w:rsidRPr="4A262852" w:rsidR="00316D70">
              <w:rPr>
                <w:rStyle w:val="eop"/>
                <w:rFonts w:ascii="Calibri" w:hAnsi="Calibri" w:cs="Calibri"/>
                <w:sz w:val="22"/>
                <w:szCs w:val="22"/>
              </w:rPr>
              <w:t> </w:t>
            </w:r>
          </w:p>
          <w:p w:rsidR="00316D70" w:rsidP="4A262852" w:rsidRDefault="00316D70" w14:paraId="0123AE0E" w14:textId="77777777">
            <w:pPr>
              <w:pStyle w:val="paragraph"/>
              <w:spacing w:before="240" w:beforeAutospacing="off" w:after="0" w:afterAutospacing="off"/>
              <w:ind w:left="315" w:hanging="315"/>
              <w:jc w:val="both"/>
              <w:textAlignment w:val="baseline"/>
              <w:rPr>
                <w:rFonts w:ascii="Segoe UI" w:hAnsi="Segoe UI" w:cs="Segoe UI"/>
                <w:sz w:val="18"/>
                <w:szCs w:val="18"/>
              </w:rPr>
            </w:pPr>
            <w:r w:rsidRPr="4A262852" w:rsidR="00316D70">
              <w:rPr>
                <w:rStyle w:val="normaltextrun"/>
                <w:rFonts w:ascii="Calibri" w:hAnsi="Calibri" w:cs="Calibri"/>
                <w:b w:val="1"/>
                <w:bCs w:val="1"/>
                <w:sz w:val="22"/>
                <w:szCs w:val="22"/>
              </w:rPr>
              <w:t>Opportunity</w:t>
            </w:r>
            <w:r w:rsidRPr="4A262852" w:rsidR="00316D70">
              <w:rPr>
                <w:rStyle w:val="normaltextrun"/>
                <w:rFonts w:ascii="Calibri" w:hAnsi="Calibri" w:cs="Calibri"/>
                <w:sz w:val="22"/>
                <w:szCs w:val="22"/>
              </w:rPr>
              <w:t xml:space="preserve"> – To master and take </w:t>
            </w:r>
            <w:r w:rsidRPr="4A262852" w:rsidR="00316D70">
              <w:rPr>
                <w:rStyle w:val="normaltextrun"/>
                <w:rFonts w:ascii="Calibri" w:hAnsi="Calibri" w:cs="Calibri"/>
                <w:sz w:val="22"/>
                <w:szCs w:val="22"/>
              </w:rPr>
              <w:t>appropriate useful</w:t>
            </w:r>
            <w:r w:rsidRPr="4A262852" w:rsidR="00316D70">
              <w:rPr>
                <w:rStyle w:val="normaltextrun"/>
                <w:rFonts w:ascii="Calibri" w:hAnsi="Calibri" w:cs="Calibri"/>
                <w:sz w:val="22"/>
                <w:szCs w:val="22"/>
              </w:rPr>
              <w:t xml:space="preserve"> exams </w:t>
            </w:r>
            <w:r w:rsidRPr="4A262852" w:rsidR="00316D70">
              <w:rPr>
                <w:rStyle w:val="eop"/>
                <w:rFonts w:ascii="Calibri" w:hAnsi="Calibri" w:cs="Calibri"/>
                <w:sz w:val="22"/>
                <w:szCs w:val="22"/>
              </w:rPr>
              <w:t> </w:t>
            </w:r>
          </w:p>
          <w:p w:rsidR="00316D70" w:rsidP="4A262852" w:rsidRDefault="00316D70" w14:paraId="50D8F320" w14:textId="77777777">
            <w:pPr>
              <w:pStyle w:val="paragraph"/>
              <w:spacing w:before="240" w:beforeAutospacing="off" w:after="0" w:afterAutospacing="off"/>
              <w:ind w:left="315" w:hanging="315"/>
              <w:jc w:val="both"/>
              <w:textAlignment w:val="baseline"/>
              <w:rPr>
                <w:rFonts w:ascii="Segoe UI" w:hAnsi="Segoe UI" w:cs="Segoe UI"/>
                <w:sz w:val="18"/>
                <w:szCs w:val="18"/>
              </w:rPr>
            </w:pPr>
            <w:r w:rsidRPr="4A262852" w:rsidR="00316D70">
              <w:rPr>
                <w:rStyle w:val="normaltextrun"/>
                <w:rFonts w:ascii="Calibri" w:hAnsi="Calibri" w:cs="Calibri"/>
                <w:b w:val="1"/>
                <w:bCs w:val="1"/>
                <w:sz w:val="22"/>
                <w:szCs w:val="22"/>
              </w:rPr>
              <w:t>Well-being</w:t>
            </w:r>
            <w:r w:rsidRPr="4A262852" w:rsidR="00316D70">
              <w:rPr>
                <w:rStyle w:val="normaltextrun"/>
                <w:rFonts w:ascii="Calibri" w:hAnsi="Calibri" w:cs="Calibri"/>
                <w:sz w:val="22"/>
                <w:szCs w:val="22"/>
              </w:rPr>
              <w:t xml:space="preserve"> – Maths is not scary </w:t>
            </w:r>
            <w:r w:rsidRPr="4A262852" w:rsidR="00316D70">
              <w:rPr>
                <w:rStyle w:val="eop"/>
                <w:rFonts w:ascii="Calibri" w:hAnsi="Calibri" w:cs="Calibri"/>
                <w:sz w:val="22"/>
                <w:szCs w:val="22"/>
              </w:rPr>
              <w:t> </w:t>
            </w:r>
          </w:p>
          <w:p w:rsidR="00316D70" w:rsidP="4A262852" w:rsidRDefault="00316D70" w14:paraId="2DF3FAA1" w14:textId="028821C9">
            <w:pPr>
              <w:pStyle w:val="paragraph"/>
              <w:spacing w:before="240" w:beforeAutospacing="off" w:after="0" w:afterAutospacing="off" w:line="240" w:lineRule="auto"/>
              <w:ind w:left="0" w:hanging="0"/>
              <w:jc w:val="both"/>
              <w:textAlignment w:val="baseline"/>
              <w:rPr>
                <w:rStyle w:val="normaltextrun"/>
                <w:rFonts w:ascii="Calibri" w:hAnsi="Calibri" w:cs="Calibri"/>
                <w:sz w:val="22"/>
                <w:szCs w:val="22"/>
              </w:rPr>
            </w:pPr>
          </w:p>
          <w:p w:rsidRPr="0021017D" w:rsidR="00316D70" w:rsidP="4A262852" w:rsidRDefault="00316D70" w14:paraId="2DB6A7C1" w14:textId="75FD6D0A">
            <w:pPr>
              <w:spacing w:before="240" w:beforeAutospacing="off" w:after="300" w:afterAutospacing="off" w:line="240" w:lineRule="auto"/>
              <w:ind/>
              <w:jc w:val="both"/>
              <w:rPr>
                <w:rFonts w:ascii="Calibri" w:hAnsi="Calibri" w:eastAsia="Calibri" w:cs="Calibri" w:asciiTheme="minorAscii" w:hAnsiTheme="minorAscii" w:eastAsiaTheme="minorAscii" w:cstheme="minorAscii"/>
                <w:b w:val="1"/>
                <w:bCs w:val="1"/>
                <w:i w:val="0"/>
                <w:iCs w:val="0"/>
                <w:caps w:val="0"/>
                <w:smallCaps w:val="0"/>
                <w:noProof w:val="0"/>
                <w:color w:val="auto"/>
                <w:lang w:val="en-GB"/>
              </w:rPr>
            </w:pPr>
            <w:r w:rsidRPr="4A262852" w:rsidR="76621F25">
              <w:rPr>
                <w:rFonts w:ascii="Calibri" w:hAnsi="Calibri" w:eastAsia="Calibri" w:cs="Calibri" w:asciiTheme="minorAscii" w:hAnsiTheme="minorAscii" w:eastAsiaTheme="minorAscii" w:cstheme="minorAscii"/>
                <w:b w:val="1"/>
                <w:bCs w:val="1"/>
                <w:i w:val="0"/>
                <w:iCs w:val="0"/>
                <w:caps w:val="0"/>
                <w:smallCaps w:val="0"/>
                <w:noProof w:val="0"/>
                <w:color w:val="auto"/>
                <w:lang w:val="en-GB"/>
              </w:rPr>
              <w:t>R</w:t>
            </w:r>
            <w:r w:rsidRPr="4A262852" w:rsidR="667AD2D8">
              <w:rPr>
                <w:rFonts w:ascii="Calibri" w:hAnsi="Calibri" w:eastAsia="Calibri" w:cs="Calibri" w:asciiTheme="minorAscii" w:hAnsiTheme="minorAscii" w:eastAsiaTheme="minorAscii" w:cstheme="minorAscii"/>
                <w:b w:val="1"/>
                <w:bCs w:val="1"/>
                <w:i w:val="0"/>
                <w:iCs w:val="0"/>
                <w:caps w:val="0"/>
                <w:smallCaps w:val="0"/>
                <w:noProof w:val="0"/>
                <w:color w:val="auto"/>
                <w:lang w:val="en-GB"/>
              </w:rPr>
              <w:t>a</w:t>
            </w:r>
            <w:r w:rsidRPr="4A262852" w:rsidR="76621F25">
              <w:rPr>
                <w:rFonts w:ascii="Calibri" w:hAnsi="Calibri" w:eastAsia="Calibri" w:cs="Calibri" w:asciiTheme="minorAscii" w:hAnsiTheme="minorAscii" w:eastAsiaTheme="minorAscii" w:cstheme="minorAscii"/>
                <w:b w:val="1"/>
                <w:bCs w:val="1"/>
                <w:i w:val="0"/>
                <w:iCs w:val="0"/>
                <w:caps w:val="0"/>
                <w:smallCaps w:val="0"/>
                <w:noProof w:val="0"/>
                <w:color w:val="auto"/>
                <w:lang w:val="en-GB"/>
              </w:rPr>
              <w:t>tionale</w:t>
            </w:r>
            <w:r w:rsidRPr="4A262852" w:rsidR="76621F25">
              <w:rPr>
                <w:rFonts w:ascii="Calibri" w:hAnsi="Calibri" w:eastAsia="Calibri" w:cs="Calibri" w:asciiTheme="minorAscii" w:hAnsiTheme="minorAscii" w:eastAsiaTheme="minorAscii" w:cstheme="minorAscii"/>
                <w:b w:val="1"/>
                <w:bCs w:val="1"/>
                <w:i w:val="0"/>
                <w:iCs w:val="0"/>
                <w:caps w:val="0"/>
                <w:smallCaps w:val="0"/>
                <w:noProof w:val="0"/>
                <w:color w:val="auto"/>
                <w:lang w:val="en-GB"/>
              </w:rPr>
              <w:t xml:space="preserve"> </w:t>
            </w:r>
          </w:p>
          <w:p w:rsidRPr="0021017D" w:rsidR="00316D70" w:rsidP="4A262852" w:rsidRDefault="00316D70" w14:paraId="5283B830" w14:textId="5D41FA0D">
            <w:pPr>
              <w:spacing w:before="240" w:beforeAutospacing="off" w:after="300" w:afterAutospacing="off"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4A262852" w:rsidR="76621F25">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Pupils’ confidence in their own mathematical abilities is vital. At Coxlease School, we understand the importance and relevance of ‘real-life’ learning concepts and therefore endeavour to provide our students with opportunities that will encourage natural problem-solving and reasoning. Our students must feel they are able to use the skills taught in the classroom in a variety of settings; therefore, we </w:t>
            </w:r>
            <w:r w:rsidRPr="4A262852" w:rsidR="76621F25">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provide</w:t>
            </w:r>
            <w:r w:rsidRPr="4A262852" w:rsidR="76621F25">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learning opportunities, which will challenge, relate, and build confidence in our students. This approach aligns with the Independent Schools Standards (ISS), which emphasise a broad, balanced, and coherent curriculum that develops pupils’ personal and academic growth, and with Gatsby Benchmarks, which promote real-world relevance and guided careers learning as part of a high-quality education (ISS; Gatsby Benchmarks).</w:t>
            </w:r>
          </w:p>
          <w:p w:rsidRPr="0021017D" w:rsidR="00316D70" w:rsidP="4A262852" w:rsidRDefault="00316D70" w14:paraId="5B7976AF" w14:textId="593B42F9">
            <w:pPr>
              <w:spacing w:before="240" w:beforeAutospacing="off" w:after="300" w:afterAutospacing="off"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4A262852" w:rsidR="76621F25">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At Coxlease School, we respect a variety of learning needs and gaps within our pupils’ education, so deliver a mathematical model, which allows individual progress and the monitoring and assessment of this to ensure our students achieve their best academic outcomes. This aligns with ISS expectations for inclusive practice and progress tracking, and with Gatsby Benchmarks that call for personalised guidance and a curriculum that connects learning to real-life contexts (ISS; Gatsby Benchmarks).</w:t>
            </w:r>
          </w:p>
          <w:p w:rsidRPr="0021017D" w:rsidR="00316D70" w:rsidP="4A262852" w:rsidRDefault="00316D70" w14:paraId="77243BAB" w14:textId="22D70C02">
            <w:pPr>
              <w:spacing w:before="240" w:beforeAutospacing="off" w:after="300" w:afterAutospacing="off" w:line="240" w:lineRule="auto"/>
              <w:ind/>
              <w:jc w:val="both"/>
              <w:rPr>
                <w:rFonts w:ascii="Calibri" w:hAnsi="Calibri" w:eastAsia="Calibri" w:cs="Calibri" w:asciiTheme="minorAscii" w:hAnsiTheme="minorAscii" w:eastAsiaTheme="minorAscii" w:cstheme="minorAscii"/>
                <w:b w:val="1"/>
                <w:bCs w:val="1"/>
                <w:i w:val="0"/>
                <w:iCs w:val="0"/>
                <w:caps w:val="0"/>
                <w:smallCaps w:val="0"/>
                <w:noProof w:val="0"/>
                <w:color w:val="auto"/>
                <w:lang w:val="en-GB"/>
              </w:rPr>
            </w:pPr>
          </w:p>
          <w:p w:rsidRPr="0021017D" w:rsidR="00316D70" w:rsidP="4A262852" w:rsidRDefault="00316D70" w14:paraId="4C01B119" w14:textId="72AF8573">
            <w:pPr>
              <w:spacing w:before="240" w:beforeAutospacing="off" w:after="300" w:afterAutospacing="off" w:line="240" w:lineRule="auto"/>
              <w:ind/>
              <w:jc w:val="both"/>
              <w:rPr>
                <w:rFonts w:ascii="Calibri" w:hAnsi="Calibri" w:eastAsia="Calibri" w:cs="Calibri" w:asciiTheme="minorAscii" w:hAnsiTheme="minorAscii" w:eastAsiaTheme="minorAscii" w:cstheme="minorAscii"/>
                <w:b w:val="1"/>
                <w:bCs w:val="1"/>
                <w:i w:val="0"/>
                <w:iCs w:val="0"/>
                <w:caps w:val="0"/>
                <w:smallCaps w:val="0"/>
                <w:noProof w:val="0"/>
                <w:color w:val="auto"/>
                <w:lang w:val="en-GB"/>
              </w:rPr>
            </w:pPr>
            <w:r w:rsidRPr="4A262852" w:rsidR="76621F25">
              <w:rPr>
                <w:rFonts w:ascii="Calibri" w:hAnsi="Calibri" w:eastAsia="Calibri" w:cs="Calibri" w:asciiTheme="minorAscii" w:hAnsiTheme="minorAscii" w:eastAsiaTheme="minorAscii" w:cstheme="minorAscii"/>
                <w:b w:val="1"/>
                <w:bCs w:val="1"/>
                <w:i w:val="0"/>
                <w:iCs w:val="0"/>
                <w:caps w:val="0"/>
                <w:smallCaps w:val="0"/>
                <w:noProof w:val="0"/>
                <w:color w:val="auto"/>
                <w:lang w:val="en-GB"/>
              </w:rPr>
              <w:t>Purpose</w:t>
            </w:r>
          </w:p>
          <w:p w:rsidRPr="0021017D" w:rsidR="00316D70" w:rsidP="4A262852" w:rsidRDefault="00316D70" w14:paraId="62B2FD8A" w14:textId="07192B7D">
            <w:pPr>
              <w:spacing w:before="240" w:beforeAutospacing="off" w:after="300" w:afterAutospacing="off"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4A262852" w:rsidR="76621F25">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The teaching of Mathematics helps and enables learners to be able to reach their own convictions, as it models problem solving with an outcome that is objective and logical. Mathematics quickens minds and helps our students, in general, to deepen and think when faced with complex problems. It is a skill that is utilised in many different contexts every day. Therefore, it is a priceless skill to </w:t>
            </w:r>
            <w:r w:rsidRPr="4A262852" w:rsidR="76621F25">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teach</w:t>
            </w:r>
            <w:r w:rsidRPr="4A262852" w:rsidR="76621F25">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children. From cooking, to reading medication, to driving – mathematics surrounds our pupils. This purpose supports the ISS requirement for a curriculum that develops independent thinking, numeracy, and practical skills, and aligns with Gatsby Benchmark 4 (curriculum integration and linking learning to the real world) and Benchmark 7 (personal guidance to support progression).</w:t>
            </w:r>
          </w:p>
          <w:p w:rsidRPr="0021017D" w:rsidR="00316D70" w:rsidP="4A262852" w:rsidRDefault="00316D70" w14:paraId="23A3BFD9" w14:textId="14C24063">
            <w:pPr>
              <w:spacing w:before="240" w:beforeAutospacing="off" w:after="300" w:afterAutospacing="off"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4A262852" w:rsidR="76621F25">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Teaching them the skills involved in Mathematics equips them for daily living skills as adults. At Coxlease School, the purpose of Maths is to deliver a full and skilled curriculum through a varied and relevant approach. This supports ISS expectations for a coherent and progressive curriculum and Gatsby Benchmark 2 (learning from labour market information and real-world contexts) and Benchmark 4 (curriculum-to-work connections), ensuring maths learning relates to real-life applications and future pathways.</w:t>
            </w:r>
          </w:p>
          <w:p w:rsidRPr="0021017D" w:rsidR="00316D70" w:rsidP="4A262852" w:rsidRDefault="00316D70" w14:paraId="765884CA" w14:textId="7E9214B9">
            <w:pPr>
              <w:spacing w:before="240" w:beforeAutospacing="off" w:after="300" w:afterAutospacing="off" w:line="336" w:lineRule="auto"/>
              <w:ind/>
              <w:jc w:val="both"/>
              <w:rPr>
                <w:rFonts w:ascii="Calibri" w:hAnsi="Calibri" w:eastAsia="Calibri" w:cs="Calibri" w:asciiTheme="minorAscii" w:hAnsiTheme="minorAscii" w:eastAsiaTheme="minorAscii" w:cstheme="minorAscii"/>
                <w:b w:val="1"/>
                <w:bCs w:val="1"/>
                <w:i w:val="0"/>
                <w:iCs w:val="0"/>
                <w:caps w:val="0"/>
                <w:smallCaps w:val="0"/>
                <w:noProof w:val="0"/>
                <w:color w:val="auto"/>
                <w:lang w:val="en-GB"/>
              </w:rPr>
            </w:pPr>
            <w:r w:rsidRPr="4A262852" w:rsidR="76621F25">
              <w:rPr>
                <w:rFonts w:ascii="Calibri" w:hAnsi="Calibri" w:eastAsia="Calibri" w:cs="Calibri" w:asciiTheme="minorAscii" w:hAnsiTheme="minorAscii" w:eastAsiaTheme="minorAscii" w:cstheme="minorAscii"/>
                <w:b w:val="1"/>
                <w:bCs w:val="1"/>
                <w:i w:val="0"/>
                <w:iCs w:val="0"/>
                <w:caps w:val="0"/>
                <w:smallCaps w:val="0"/>
                <w:noProof w:val="0"/>
                <w:color w:val="auto"/>
                <w:lang w:val="en-GB"/>
              </w:rPr>
              <w:t xml:space="preserve">Aims of the Policy </w:t>
            </w:r>
          </w:p>
          <w:p w:rsidRPr="0021017D" w:rsidR="00316D70" w:rsidP="4A262852" w:rsidRDefault="00316D70" w14:paraId="27BC0B8F" w14:textId="54451D74">
            <w:pPr>
              <w:spacing w:before="240" w:beforeAutospacing="off" w:after="300" w:afterAutospacing="off" w:line="336"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4A262852" w:rsidR="76621F25">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The aims of teaching Mathematics at Coxlease School are to enable the pupils:</w:t>
            </w:r>
          </w:p>
          <w:p w:rsidRPr="0021017D" w:rsidR="00316D70" w:rsidP="4A262852" w:rsidRDefault="00316D70" w14:paraId="210A6114" w14:textId="168F8E5C">
            <w:pPr>
              <w:pStyle w:val="ListParagraph"/>
              <w:numPr>
                <w:ilvl w:val="0"/>
                <w:numId w:val="26"/>
              </w:numPr>
              <w:spacing w:before="240" w:beforeAutospacing="off" w:after="150" w:afterAutospacing="off"/>
              <w:ind/>
              <w:jc w:val="both"/>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4A262852" w:rsidR="76621F25">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To develop positive attitudes towards mathematics as an interesting, worthwhile, and enjoyable subject.</w:t>
            </w:r>
          </w:p>
          <w:p w:rsidRPr="0021017D" w:rsidR="00316D70" w:rsidP="4A262852" w:rsidRDefault="00316D70" w14:paraId="66E2FE4D" w14:textId="18A5DDD0">
            <w:pPr>
              <w:pStyle w:val="ListParagraph"/>
              <w:numPr>
                <w:ilvl w:val="0"/>
                <w:numId w:val="26"/>
              </w:numPr>
              <w:spacing w:before="240" w:beforeAutospacing="off" w:after="150" w:afterAutospacing="off"/>
              <w:ind/>
              <w:jc w:val="both"/>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4A262852" w:rsidR="76621F25">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To </w:t>
            </w:r>
            <w:r w:rsidRPr="4A262852" w:rsidR="76621F25">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acquire</w:t>
            </w:r>
            <w:r w:rsidRPr="4A262852" w:rsidR="76621F25">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 xml:space="preserve"> skills, concepts, and knowledge in a cumulative and coherent way.</w:t>
            </w:r>
          </w:p>
          <w:p w:rsidRPr="0021017D" w:rsidR="00316D70" w:rsidP="4A262852" w:rsidRDefault="00316D70" w14:paraId="3F07383A" w14:textId="066CC621">
            <w:pPr>
              <w:pStyle w:val="ListParagraph"/>
              <w:numPr>
                <w:ilvl w:val="0"/>
                <w:numId w:val="26"/>
              </w:numPr>
              <w:spacing w:before="240" w:beforeAutospacing="off" w:after="150" w:afterAutospacing="off"/>
              <w:ind/>
              <w:jc w:val="both"/>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4A262852" w:rsidR="76621F25">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To learn to interpret and understand information presented in Mathematical form.</w:t>
            </w:r>
          </w:p>
          <w:p w:rsidRPr="0021017D" w:rsidR="00316D70" w:rsidP="4A262852" w:rsidRDefault="00316D70" w14:paraId="35A2B80D" w14:textId="18583BBE">
            <w:pPr>
              <w:pStyle w:val="ListParagraph"/>
              <w:numPr>
                <w:ilvl w:val="0"/>
                <w:numId w:val="26"/>
              </w:numPr>
              <w:spacing w:before="240" w:beforeAutospacing="off" w:after="150" w:afterAutospacing="off"/>
              <w:ind/>
              <w:jc w:val="both"/>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4A262852" w:rsidR="76621F25">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To be able to relate the mathematics learned in class to real life.</w:t>
            </w:r>
          </w:p>
          <w:p w:rsidRPr="0021017D" w:rsidR="00316D70" w:rsidP="4A262852" w:rsidRDefault="00316D70" w14:paraId="140FDE4E" w14:textId="2D6B44D4">
            <w:pPr>
              <w:pStyle w:val="ListParagraph"/>
              <w:numPr>
                <w:ilvl w:val="0"/>
                <w:numId w:val="26"/>
              </w:numPr>
              <w:spacing w:before="240" w:beforeAutospacing="off" w:after="150" w:afterAutospacing="off"/>
              <w:ind/>
              <w:jc w:val="both"/>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4A262852" w:rsidR="76621F25">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To utilise skills learned in a wider context, such as problem solving and reasoning.</w:t>
            </w:r>
          </w:p>
          <w:p w:rsidRPr="0021017D" w:rsidR="00316D70" w:rsidP="4A262852" w:rsidRDefault="00316D70" w14:paraId="395E55C1" w14:textId="254B3491">
            <w:pPr>
              <w:pStyle w:val="ListParagraph"/>
              <w:numPr>
                <w:ilvl w:val="0"/>
                <w:numId w:val="26"/>
              </w:numPr>
              <w:spacing w:before="240" w:beforeAutospacing="off" w:after="150" w:afterAutospacing="off"/>
              <w:ind/>
              <w:jc w:val="both"/>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4A262852" w:rsidR="76621F25">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To leave Coxlease School with a relevant Mathematics qualification which is accepted by learning institutions at the levels they plan to work at, and employers.</w:t>
            </w:r>
          </w:p>
          <w:p w:rsidRPr="0021017D" w:rsidR="00316D70" w:rsidP="4A262852" w:rsidRDefault="00316D70" w14:paraId="693FC47B" w14:textId="454B9245">
            <w:pPr>
              <w:pStyle w:val="ListParagraph"/>
              <w:numPr>
                <w:ilvl w:val="0"/>
                <w:numId w:val="26"/>
              </w:numPr>
              <w:spacing w:before="240" w:beforeAutospacing="off" w:after="150" w:afterAutospacing="off"/>
              <w:ind/>
              <w:jc w:val="both"/>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4A262852" w:rsidR="76621F25">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To have the skills to read and understand worded mathematical problems.</w:t>
            </w:r>
          </w:p>
          <w:p w:rsidRPr="0021017D" w:rsidR="00316D70" w:rsidP="4A262852" w:rsidRDefault="00316D70" w14:paraId="0AEFBBF3" w14:textId="3CCE3FEE">
            <w:pPr>
              <w:spacing w:before="240" w:beforeAutospacing="off" w:after="0" w:afterAutospacing="off"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auto"/>
                <w:lang w:val="en-GB"/>
              </w:rPr>
            </w:pPr>
            <w:r w:rsidRPr="4A262852" w:rsidR="76621F25">
              <w:rPr>
                <w:rFonts w:ascii="Calibri" w:hAnsi="Calibri" w:eastAsia="Calibri" w:cs="Calibri" w:asciiTheme="minorAscii" w:hAnsiTheme="minorAscii" w:eastAsiaTheme="minorAscii" w:cstheme="minorAscii"/>
                <w:b w:val="0"/>
                <w:bCs w:val="0"/>
                <w:i w:val="0"/>
                <w:iCs w:val="0"/>
                <w:caps w:val="0"/>
                <w:smallCaps w:val="0"/>
                <w:noProof w:val="0"/>
                <w:color w:val="auto"/>
                <w:lang w:val="en-GB"/>
              </w:rPr>
              <w:t>Aims will be presented to pupils according to their special educational needs and preferred ways of working, with consideration of age, ability, behaviour, and the requirements of the national curriculum. This presentation and inclusive approach reflect ISS expectations of provision for diverse learners and ongoing assessment to support progress, as well as Gatsby Benchmarks that support personalised guidance and curriculum alignment with students’ needs and future opportunities</w:t>
            </w:r>
          </w:p>
        </w:tc>
      </w:tr>
      <w:tr w:rsidRPr="0021017D" w:rsidR="00316D70" w:rsidTr="4A262852" w14:paraId="4579EF2F" w14:textId="77777777">
        <w:tc>
          <w:tcPr>
            <w:tcW w:w="9050" w:type="dxa"/>
            <w:tcBorders>
              <w:top w:val="single" w:color="auto" w:sz="6" w:space="0"/>
              <w:left w:val="single" w:color="auto" w:sz="6" w:space="0"/>
              <w:bottom w:val="single" w:color="auto" w:sz="6" w:space="0"/>
              <w:right w:val="single" w:color="auto" w:sz="6" w:space="0"/>
            </w:tcBorders>
            <w:tcMar/>
          </w:tcPr>
          <w:p w:rsidRPr="0021017D" w:rsidR="00316D70" w:rsidP="00316D70" w:rsidRDefault="00316D70" w14:paraId="5D2DEA14" w14:textId="592B189E">
            <w:pPr>
              <w:pStyle w:val="ListParagraph"/>
              <w:numPr>
                <w:ilvl w:val="0"/>
                <w:numId w:val="2"/>
              </w:numPr>
              <w:rPr>
                <w:b/>
              </w:rPr>
            </w:pPr>
            <w:r>
              <w:rPr>
                <w:rStyle w:val="normaltextrun"/>
                <w:rFonts w:ascii="Calibri" w:hAnsi="Calibri" w:cs="Calibri"/>
                <w:b/>
                <w:bCs/>
              </w:rPr>
              <w:lastRenderedPageBreak/>
              <w:t>Numeracy in KS2 (Primary) &amp; KS3</w:t>
            </w:r>
            <w:r>
              <w:rPr>
                <w:rStyle w:val="normaltextrun"/>
                <w:rFonts w:ascii="Calibri" w:hAnsi="Calibri" w:cs="Calibri"/>
              </w:rPr>
              <w:t> </w:t>
            </w:r>
            <w:r>
              <w:rPr>
                <w:rStyle w:val="eop"/>
                <w:rFonts w:ascii="Calibri" w:hAnsi="Calibri" w:cs="Calibri"/>
              </w:rPr>
              <w:t> </w:t>
            </w:r>
          </w:p>
        </w:tc>
      </w:tr>
      <w:tr w:rsidRPr="0021017D" w:rsidR="00316D70" w:rsidTr="4A262852" w14:paraId="33E0918B" w14:textId="77777777">
        <w:tc>
          <w:tcPr>
            <w:tcW w:w="9050" w:type="dxa"/>
            <w:tcBorders>
              <w:top w:val="single" w:color="auto" w:sz="6" w:space="0"/>
              <w:left w:val="single" w:color="auto" w:sz="6" w:space="0"/>
              <w:bottom w:val="single" w:color="auto" w:sz="6" w:space="0"/>
              <w:right w:val="single" w:color="auto" w:sz="6" w:space="0"/>
            </w:tcBorders>
            <w:tcMar/>
          </w:tcPr>
          <w:p w:rsidR="00316D70" w:rsidP="4A262852" w:rsidRDefault="00316D70" w14:paraId="655C5C28" w14:textId="77777777">
            <w:pPr>
              <w:pStyle w:val="paragraph"/>
              <w:spacing w:before="0" w:beforeAutospacing="off" w:after="0" w:afterAutospacing="off"/>
              <w:ind w:left="1035" w:hanging="315"/>
              <w:jc w:val="both"/>
              <w:textAlignment w:val="baseline"/>
              <w:rPr>
                <w:rFonts w:ascii="Calibri" w:hAnsi="Calibri" w:eastAsia="Calibri" w:cs="Calibri" w:asciiTheme="minorAscii" w:hAnsiTheme="minorAscii" w:eastAsiaTheme="minorAscii" w:cstheme="minorAscii"/>
                <w:color w:val="auto"/>
                <w:sz w:val="22"/>
                <w:szCs w:val="22"/>
              </w:rPr>
            </w:pPr>
            <w:r w:rsidRPr="4A262852" w:rsidR="00316D70">
              <w:rPr>
                <w:rStyle w:val="normaltextrun"/>
                <w:rFonts w:ascii="Calibri" w:hAnsi="Calibri" w:eastAsia="Calibri" w:cs="Calibri" w:asciiTheme="minorAscii" w:hAnsiTheme="minorAscii" w:eastAsiaTheme="minorAscii" w:cstheme="minorAscii"/>
                <w:color w:val="auto"/>
                <w:sz w:val="22"/>
                <w:szCs w:val="22"/>
              </w:rPr>
              <w:t> </w:t>
            </w:r>
            <w:r w:rsidRPr="4A262852" w:rsidR="00316D70">
              <w:rPr>
                <w:rStyle w:val="eop"/>
                <w:rFonts w:ascii="Calibri" w:hAnsi="Calibri" w:eastAsia="Calibri" w:cs="Calibri" w:asciiTheme="minorAscii" w:hAnsiTheme="minorAscii" w:eastAsiaTheme="minorAscii" w:cstheme="minorAscii"/>
                <w:color w:val="auto"/>
                <w:sz w:val="22"/>
                <w:szCs w:val="22"/>
              </w:rPr>
              <w:t> </w:t>
            </w:r>
          </w:p>
          <w:p w:rsidR="00316D70" w:rsidP="4A262852" w:rsidRDefault="00316D70" w14:paraId="234866EA" w14:textId="77777777">
            <w:pPr>
              <w:pStyle w:val="paragraph"/>
              <w:spacing w:before="0" w:beforeAutospacing="off" w:after="0" w:afterAutospacing="off"/>
              <w:ind w:left="720"/>
              <w:jc w:val="both"/>
              <w:textAlignment w:val="baseline"/>
              <w:rPr>
                <w:rFonts w:ascii="Calibri" w:hAnsi="Calibri" w:eastAsia="Calibri" w:cs="Calibri" w:asciiTheme="minorAscii" w:hAnsiTheme="minorAscii" w:eastAsiaTheme="minorAscii" w:cstheme="minorAscii"/>
                <w:color w:val="auto"/>
                <w:sz w:val="22"/>
                <w:szCs w:val="22"/>
              </w:rPr>
            </w:pPr>
            <w:r w:rsidRPr="4A262852" w:rsidR="00316D70">
              <w:rPr>
                <w:rStyle w:val="normaltextrun"/>
                <w:rFonts w:ascii="Calibri" w:hAnsi="Calibri" w:eastAsia="Calibri" w:cs="Calibri" w:asciiTheme="minorAscii" w:hAnsiTheme="minorAscii" w:eastAsiaTheme="minorAscii" w:cstheme="minorAscii"/>
                <w:b w:val="1"/>
                <w:bCs w:val="1"/>
                <w:color w:val="auto"/>
                <w:sz w:val="22"/>
                <w:szCs w:val="22"/>
                <w:u w:val="single"/>
              </w:rPr>
              <w:t>Implementation</w:t>
            </w:r>
            <w:r w:rsidRPr="4A262852" w:rsidR="00316D70">
              <w:rPr>
                <w:rStyle w:val="normaltextrun"/>
                <w:rFonts w:ascii="Calibri" w:hAnsi="Calibri" w:eastAsia="Calibri" w:cs="Calibri" w:asciiTheme="minorAscii" w:hAnsiTheme="minorAscii" w:eastAsiaTheme="minorAscii" w:cstheme="minorAscii"/>
                <w:color w:val="auto"/>
                <w:sz w:val="22"/>
                <w:szCs w:val="22"/>
              </w:rPr>
              <w:t> </w:t>
            </w:r>
            <w:r w:rsidRPr="4A262852" w:rsidR="00316D70">
              <w:rPr>
                <w:rStyle w:val="eop"/>
                <w:rFonts w:ascii="Calibri" w:hAnsi="Calibri" w:eastAsia="Calibri" w:cs="Calibri" w:asciiTheme="minorAscii" w:hAnsiTheme="minorAscii" w:eastAsiaTheme="minorAscii" w:cstheme="minorAscii"/>
                <w:color w:val="auto"/>
                <w:sz w:val="22"/>
                <w:szCs w:val="22"/>
              </w:rPr>
              <w:t> </w:t>
            </w:r>
          </w:p>
          <w:p w:rsidR="00316D70" w:rsidP="4A262852" w:rsidRDefault="00316D70" w14:paraId="2BA0E691" w14:textId="77777777">
            <w:pPr>
              <w:pStyle w:val="paragraph"/>
              <w:spacing w:before="0" w:beforeAutospacing="off" w:after="0" w:afterAutospacing="off"/>
              <w:ind w:left="720"/>
              <w:jc w:val="both"/>
              <w:textAlignment w:val="baseline"/>
              <w:rPr>
                <w:rFonts w:ascii="Calibri" w:hAnsi="Calibri" w:eastAsia="Calibri" w:cs="Calibri" w:asciiTheme="minorAscii" w:hAnsiTheme="minorAscii" w:eastAsiaTheme="minorAscii" w:cstheme="minorAscii"/>
                <w:color w:val="auto"/>
                <w:sz w:val="22"/>
                <w:szCs w:val="22"/>
              </w:rPr>
            </w:pPr>
            <w:r w:rsidRPr="4A262852" w:rsidR="00316D70">
              <w:rPr>
                <w:rStyle w:val="eop"/>
                <w:rFonts w:ascii="Calibri" w:hAnsi="Calibri" w:eastAsia="Calibri" w:cs="Calibri" w:asciiTheme="minorAscii" w:hAnsiTheme="minorAscii" w:eastAsiaTheme="minorAscii" w:cstheme="minorAscii"/>
                <w:color w:val="auto"/>
                <w:sz w:val="22"/>
                <w:szCs w:val="22"/>
              </w:rPr>
              <w:t> </w:t>
            </w:r>
          </w:p>
          <w:p w:rsidR="00316D70" w:rsidP="4A262852" w:rsidRDefault="00316D70" w14:paraId="56BA0E0F" w14:textId="77777777">
            <w:pPr>
              <w:pStyle w:val="paragraph"/>
              <w:spacing w:before="0" w:beforeAutospacing="off" w:after="0" w:afterAutospacing="off"/>
              <w:ind w:left="720"/>
              <w:jc w:val="both"/>
              <w:textAlignment w:val="baseline"/>
              <w:rPr>
                <w:rFonts w:ascii="Calibri" w:hAnsi="Calibri" w:eastAsia="Calibri" w:cs="Calibri" w:asciiTheme="minorAscii" w:hAnsiTheme="minorAscii" w:eastAsiaTheme="minorAscii" w:cstheme="minorAscii"/>
                <w:color w:val="auto"/>
                <w:sz w:val="22"/>
                <w:szCs w:val="22"/>
              </w:rPr>
            </w:pPr>
            <w:r w:rsidRPr="4A262852" w:rsidR="00316D70">
              <w:rPr>
                <w:rStyle w:val="normaltextrun"/>
                <w:rFonts w:ascii="Calibri" w:hAnsi="Calibri" w:eastAsia="Calibri" w:cs="Calibri" w:asciiTheme="minorAscii" w:hAnsiTheme="minorAscii" w:eastAsiaTheme="minorAscii" w:cstheme="minorAscii"/>
                <w:color w:val="auto"/>
                <w:sz w:val="22"/>
                <w:szCs w:val="22"/>
              </w:rPr>
              <w:t xml:space="preserve">The curriculum is overseen by a subject Lead for Maths, who </w:t>
            </w:r>
            <w:r w:rsidRPr="4A262852" w:rsidR="00316D70">
              <w:rPr>
                <w:rStyle w:val="normaltextrun"/>
                <w:rFonts w:ascii="Calibri" w:hAnsi="Calibri" w:eastAsia="Calibri" w:cs="Calibri" w:asciiTheme="minorAscii" w:hAnsiTheme="minorAscii" w:eastAsiaTheme="minorAscii" w:cstheme="minorAscii"/>
                <w:color w:val="auto"/>
                <w:sz w:val="22"/>
                <w:szCs w:val="22"/>
              </w:rPr>
              <w:t>monitors</w:t>
            </w:r>
            <w:r w:rsidRPr="4A262852" w:rsidR="00316D70">
              <w:rPr>
                <w:rStyle w:val="normaltextrun"/>
                <w:rFonts w:ascii="Calibri" w:hAnsi="Calibri" w:eastAsia="Calibri" w:cs="Calibri" w:asciiTheme="minorAscii" w:hAnsiTheme="minorAscii" w:eastAsiaTheme="minorAscii" w:cstheme="minorAscii"/>
                <w:color w:val="auto"/>
                <w:sz w:val="22"/>
                <w:szCs w:val="22"/>
              </w:rPr>
              <w:t xml:space="preserve"> the Maths curriculum, through learning walks, observations, book looks and </w:t>
            </w:r>
            <w:r w:rsidRPr="4A262852" w:rsidR="00316D70">
              <w:rPr>
                <w:rStyle w:val="normaltextrun"/>
                <w:rFonts w:ascii="Calibri" w:hAnsi="Calibri" w:eastAsia="Calibri" w:cs="Calibri" w:asciiTheme="minorAscii" w:hAnsiTheme="minorAscii" w:eastAsiaTheme="minorAscii" w:cstheme="minorAscii"/>
                <w:color w:val="auto"/>
                <w:sz w:val="22"/>
                <w:szCs w:val="22"/>
              </w:rPr>
              <w:t>advising</w:t>
            </w:r>
            <w:r w:rsidRPr="4A262852" w:rsidR="00316D70">
              <w:rPr>
                <w:rStyle w:val="normaltextrun"/>
                <w:rFonts w:ascii="Calibri" w:hAnsi="Calibri" w:eastAsia="Calibri" w:cs="Calibri" w:asciiTheme="minorAscii" w:hAnsiTheme="minorAscii" w:eastAsiaTheme="minorAscii" w:cstheme="minorAscii"/>
                <w:color w:val="auto"/>
                <w:sz w:val="22"/>
                <w:szCs w:val="22"/>
              </w:rPr>
              <w:t xml:space="preserve"> staff on interventions as well as delivering training to ensure that all staff delivering maths are up to date with current pedagogy. </w:t>
            </w:r>
            <w:r w:rsidRPr="4A262852" w:rsidR="00316D70">
              <w:rPr>
                <w:rStyle w:val="eop"/>
                <w:rFonts w:ascii="Calibri" w:hAnsi="Calibri" w:eastAsia="Calibri" w:cs="Calibri" w:asciiTheme="minorAscii" w:hAnsiTheme="minorAscii" w:eastAsiaTheme="minorAscii" w:cstheme="minorAscii"/>
                <w:color w:val="auto"/>
                <w:sz w:val="22"/>
                <w:szCs w:val="22"/>
              </w:rPr>
              <w:t> </w:t>
            </w:r>
          </w:p>
          <w:p w:rsidR="00316D70" w:rsidP="4A262852" w:rsidRDefault="00316D70" w14:paraId="3ABA36EE" w14:textId="77777777">
            <w:pPr>
              <w:pStyle w:val="paragraph"/>
              <w:spacing w:before="0" w:beforeAutospacing="off" w:after="0" w:afterAutospacing="off"/>
              <w:ind w:left="720"/>
              <w:jc w:val="both"/>
              <w:textAlignment w:val="baseline"/>
              <w:rPr>
                <w:rFonts w:ascii="Calibri" w:hAnsi="Calibri" w:eastAsia="Calibri" w:cs="Calibri" w:asciiTheme="minorAscii" w:hAnsiTheme="minorAscii" w:eastAsiaTheme="minorAscii" w:cstheme="minorAscii"/>
                <w:color w:val="auto"/>
                <w:sz w:val="22"/>
                <w:szCs w:val="22"/>
              </w:rPr>
            </w:pPr>
            <w:r w:rsidRPr="4A262852" w:rsidR="00316D70">
              <w:rPr>
                <w:rStyle w:val="normaltextrun"/>
                <w:rFonts w:ascii="Calibri" w:hAnsi="Calibri" w:eastAsia="Calibri" w:cs="Calibri" w:asciiTheme="minorAscii" w:hAnsiTheme="minorAscii" w:eastAsiaTheme="minorAscii" w:cstheme="minorAscii"/>
                <w:color w:val="auto"/>
                <w:sz w:val="22"/>
                <w:szCs w:val="22"/>
              </w:rPr>
              <w:t> </w:t>
            </w:r>
            <w:r w:rsidRPr="4A262852" w:rsidR="00316D70">
              <w:rPr>
                <w:rStyle w:val="eop"/>
                <w:rFonts w:ascii="Calibri" w:hAnsi="Calibri" w:eastAsia="Calibri" w:cs="Calibri" w:asciiTheme="minorAscii" w:hAnsiTheme="minorAscii" w:eastAsiaTheme="minorAscii" w:cstheme="minorAscii"/>
                <w:color w:val="auto"/>
                <w:sz w:val="22"/>
                <w:szCs w:val="22"/>
              </w:rPr>
              <w:t> </w:t>
            </w:r>
          </w:p>
          <w:p w:rsidR="00316D70" w:rsidP="4A262852" w:rsidRDefault="00316D70" w14:paraId="14DA2E5E" w14:textId="77777777">
            <w:pPr>
              <w:pStyle w:val="paragraph"/>
              <w:spacing w:before="0" w:beforeAutospacing="off" w:after="0" w:afterAutospacing="off"/>
              <w:ind w:left="720"/>
              <w:jc w:val="both"/>
              <w:textAlignment w:val="baseline"/>
              <w:rPr>
                <w:rFonts w:ascii="Calibri" w:hAnsi="Calibri" w:eastAsia="Calibri" w:cs="Calibri" w:asciiTheme="minorAscii" w:hAnsiTheme="minorAscii" w:eastAsiaTheme="minorAscii" w:cstheme="minorAscii"/>
                <w:color w:val="auto"/>
                <w:sz w:val="22"/>
                <w:szCs w:val="22"/>
              </w:rPr>
            </w:pPr>
            <w:r w:rsidRPr="4A262852" w:rsidR="00316D70">
              <w:rPr>
                <w:rStyle w:val="normaltextrun"/>
                <w:rFonts w:ascii="Calibri" w:hAnsi="Calibri" w:eastAsia="Calibri" w:cs="Calibri" w:asciiTheme="minorAscii" w:hAnsiTheme="minorAscii" w:eastAsiaTheme="minorAscii" w:cstheme="minorAscii"/>
                <w:color w:val="auto"/>
                <w:sz w:val="22"/>
                <w:szCs w:val="22"/>
              </w:rPr>
              <w:t>Mathematics at Coxlease School follows an ‘aiming for mastery’ pedagogy. This is a school-wide approach which targets to ensure all learners access the subject using three fundamental aspects: conceptual understanding, procedural implementation, and deeper understanding. By adapting and scaffolding the ‘White Rose’ Scheme, we provide opportunities to grasp concepts through concrete examples, learners practise problem solving skills. Using a range of activities and resources, learners are taught concepts and number sense alongside procedural algorithms. </w:t>
            </w:r>
            <w:r w:rsidRPr="4A262852" w:rsidR="00316D70">
              <w:rPr>
                <w:rStyle w:val="eop"/>
                <w:rFonts w:ascii="Calibri" w:hAnsi="Calibri" w:eastAsia="Calibri" w:cs="Calibri" w:asciiTheme="minorAscii" w:hAnsiTheme="minorAscii" w:eastAsiaTheme="minorAscii" w:cstheme="minorAscii"/>
                <w:color w:val="auto"/>
                <w:sz w:val="22"/>
                <w:szCs w:val="22"/>
              </w:rPr>
              <w:t> </w:t>
            </w:r>
          </w:p>
          <w:p w:rsidR="00316D70" w:rsidP="4A262852" w:rsidRDefault="00316D70" w14:paraId="113180D4" w14:textId="77777777">
            <w:pPr>
              <w:pStyle w:val="paragraph"/>
              <w:spacing w:before="0" w:beforeAutospacing="off" w:after="0" w:afterAutospacing="off"/>
              <w:ind w:left="720"/>
              <w:jc w:val="both"/>
              <w:textAlignment w:val="baseline"/>
              <w:rPr>
                <w:rFonts w:ascii="Calibri" w:hAnsi="Calibri" w:eastAsia="Calibri" w:cs="Calibri" w:asciiTheme="minorAscii" w:hAnsiTheme="minorAscii" w:eastAsiaTheme="minorAscii" w:cstheme="minorAscii"/>
                <w:color w:val="auto"/>
                <w:sz w:val="22"/>
                <w:szCs w:val="22"/>
              </w:rPr>
            </w:pPr>
            <w:r w:rsidRPr="4A262852" w:rsidR="00316D70">
              <w:rPr>
                <w:rStyle w:val="normaltextrun"/>
                <w:rFonts w:ascii="Calibri" w:hAnsi="Calibri" w:eastAsia="Calibri" w:cs="Calibri" w:asciiTheme="minorAscii" w:hAnsiTheme="minorAscii" w:eastAsiaTheme="minorAscii" w:cstheme="minorAscii"/>
                <w:color w:val="auto"/>
                <w:sz w:val="22"/>
                <w:szCs w:val="22"/>
              </w:rPr>
              <w:t> </w:t>
            </w:r>
            <w:r w:rsidRPr="4A262852" w:rsidR="00316D70">
              <w:rPr>
                <w:rStyle w:val="eop"/>
                <w:rFonts w:ascii="Calibri" w:hAnsi="Calibri" w:eastAsia="Calibri" w:cs="Calibri" w:asciiTheme="minorAscii" w:hAnsiTheme="minorAscii" w:eastAsiaTheme="minorAscii" w:cstheme="minorAscii"/>
                <w:color w:val="auto"/>
                <w:sz w:val="22"/>
                <w:szCs w:val="22"/>
              </w:rPr>
              <w:t> </w:t>
            </w:r>
          </w:p>
          <w:p w:rsidR="00316D70" w:rsidP="4A262852" w:rsidRDefault="00316D70" w14:paraId="1DB17FC0" w14:textId="61E77511">
            <w:pPr>
              <w:pStyle w:val="paragraph"/>
              <w:spacing w:before="0" w:beforeAutospacing="off" w:after="0" w:afterAutospacing="off"/>
              <w:ind w:left="720"/>
              <w:jc w:val="both"/>
              <w:textAlignment w:val="baseline"/>
              <w:rPr>
                <w:rFonts w:ascii="Calibri" w:hAnsi="Calibri" w:eastAsia="Calibri" w:cs="Calibri" w:asciiTheme="minorAscii" w:hAnsiTheme="minorAscii" w:eastAsiaTheme="minorAscii" w:cstheme="minorAscii"/>
                <w:color w:val="auto"/>
                <w:sz w:val="22"/>
                <w:szCs w:val="22"/>
              </w:rPr>
            </w:pPr>
            <w:r w:rsidRPr="4A262852" w:rsidR="00316D70">
              <w:rPr>
                <w:rStyle w:val="normaltextrun"/>
                <w:rFonts w:ascii="Calibri" w:hAnsi="Calibri" w:eastAsia="Calibri" w:cs="Calibri" w:asciiTheme="minorAscii" w:hAnsiTheme="minorAscii" w:eastAsiaTheme="minorAscii" w:cstheme="minorAscii"/>
                <w:b w:val="1"/>
                <w:bCs w:val="1"/>
                <w:color w:val="auto"/>
                <w:sz w:val="22"/>
                <w:szCs w:val="22"/>
                <w:u w:val="single"/>
              </w:rPr>
              <w:t>Structure</w:t>
            </w:r>
            <w:r w:rsidRPr="4A262852" w:rsidR="00316D70">
              <w:rPr>
                <w:rStyle w:val="normaltextrun"/>
                <w:rFonts w:ascii="Calibri" w:hAnsi="Calibri" w:eastAsia="Calibri" w:cs="Calibri" w:asciiTheme="minorAscii" w:hAnsiTheme="minorAscii" w:eastAsiaTheme="minorAscii" w:cstheme="minorAscii"/>
                <w:color w:val="auto"/>
                <w:sz w:val="22"/>
                <w:szCs w:val="22"/>
              </w:rPr>
              <w:t> </w:t>
            </w:r>
            <w:r w:rsidRPr="4A262852" w:rsidR="00316D70">
              <w:rPr>
                <w:rStyle w:val="eop"/>
                <w:rFonts w:ascii="Calibri" w:hAnsi="Calibri" w:eastAsia="Calibri" w:cs="Calibri" w:asciiTheme="minorAscii" w:hAnsiTheme="minorAscii" w:eastAsiaTheme="minorAscii" w:cstheme="minorAscii"/>
                <w:color w:val="auto"/>
                <w:sz w:val="22"/>
                <w:szCs w:val="22"/>
              </w:rPr>
              <w:t> </w:t>
            </w:r>
          </w:p>
          <w:p w:rsidR="4A262852" w:rsidP="4A262852" w:rsidRDefault="4A262852" w14:paraId="0CC265A3" w14:textId="331E8EC8">
            <w:pPr>
              <w:pStyle w:val="paragraph"/>
              <w:spacing w:before="0" w:beforeAutospacing="off" w:after="0" w:afterAutospacing="off"/>
              <w:ind w:left="720"/>
              <w:jc w:val="both"/>
              <w:rPr>
                <w:rStyle w:val="eop"/>
                <w:rFonts w:ascii="Calibri" w:hAnsi="Calibri" w:eastAsia="Calibri" w:cs="Calibri" w:asciiTheme="minorAscii" w:hAnsiTheme="minorAscii" w:eastAsiaTheme="minorAscii" w:cstheme="minorAscii"/>
                <w:color w:val="auto"/>
                <w:sz w:val="22"/>
                <w:szCs w:val="22"/>
              </w:rPr>
            </w:pPr>
          </w:p>
          <w:p w:rsidR="00316D70" w:rsidP="4A262852" w:rsidRDefault="00316D70" w14:paraId="3D7EBCF8" w14:textId="77777777">
            <w:pPr>
              <w:pStyle w:val="paragraph"/>
              <w:spacing w:before="0" w:beforeAutospacing="off" w:after="0" w:afterAutospacing="off"/>
              <w:ind w:left="1440" w:firstLine="0"/>
              <w:jc w:val="both"/>
              <w:textAlignment w:val="baseline"/>
              <w:rPr>
                <w:rFonts w:ascii="Calibri" w:hAnsi="Calibri" w:eastAsia="Calibri" w:cs="Calibri" w:asciiTheme="minorAscii" w:hAnsiTheme="minorAscii" w:eastAsiaTheme="minorAscii" w:cstheme="minorAscii"/>
                <w:color w:val="auto"/>
                <w:sz w:val="22"/>
                <w:szCs w:val="22"/>
              </w:rPr>
            </w:pPr>
            <w:r w:rsidRPr="4A262852" w:rsidR="00316D70">
              <w:rPr>
                <w:rStyle w:val="normaltextrun"/>
                <w:rFonts w:ascii="Calibri" w:hAnsi="Calibri" w:eastAsia="Calibri" w:cs="Calibri" w:asciiTheme="minorAscii" w:hAnsiTheme="minorAscii" w:eastAsiaTheme="minorAscii" w:cstheme="minorAscii"/>
                <w:color w:val="auto"/>
                <w:sz w:val="22"/>
                <w:szCs w:val="22"/>
              </w:rPr>
              <w:t xml:space="preserve">Mathematics is taught four times a week with each lesson totalling 45-minutes. This is delivered by one consistent teacher in the same nurturing environment to minimise uncertainty and provide much needed routine. By </w:t>
            </w:r>
            <w:r w:rsidRPr="4A262852" w:rsidR="00316D70">
              <w:rPr>
                <w:rStyle w:val="normaltextrun"/>
                <w:rFonts w:ascii="Calibri" w:hAnsi="Calibri" w:eastAsia="Calibri" w:cs="Calibri" w:asciiTheme="minorAscii" w:hAnsiTheme="minorAscii" w:eastAsiaTheme="minorAscii" w:cstheme="minorAscii"/>
                <w:color w:val="auto"/>
                <w:sz w:val="22"/>
                <w:szCs w:val="22"/>
              </w:rPr>
              <w:t>remaining</w:t>
            </w:r>
            <w:r w:rsidRPr="4A262852" w:rsidR="00316D70">
              <w:rPr>
                <w:rStyle w:val="normaltextrun"/>
                <w:rFonts w:ascii="Calibri" w:hAnsi="Calibri" w:eastAsia="Calibri" w:cs="Calibri" w:asciiTheme="minorAscii" w:hAnsiTheme="minorAscii" w:eastAsiaTheme="minorAscii" w:cstheme="minorAscii"/>
                <w:color w:val="auto"/>
                <w:sz w:val="22"/>
                <w:szCs w:val="22"/>
              </w:rPr>
              <w:t xml:space="preserve"> with the same members of staff, we maximise opportunities to relate skills and knowledge in mathematics to other programmes of study. </w:t>
            </w:r>
            <w:r w:rsidRPr="4A262852" w:rsidR="00316D70">
              <w:rPr>
                <w:rStyle w:val="eop"/>
                <w:rFonts w:ascii="Calibri" w:hAnsi="Calibri" w:eastAsia="Calibri" w:cs="Calibri" w:asciiTheme="minorAscii" w:hAnsiTheme="minorAscii" w:eastAsiaTheme="minorAscii" w:cstheme="minorAscii"/>
                <w:color w:val="auto"/>
                <w:sz w:val="22"/>
                <w:szCs w:val="22"/>
              </w:rPr>
              <w:t> </w:t>
            </w:r>
          </w:p>
          <w:p w:rsidR="00316D70" w:rsidP="4A262852" w:rsidRDefault="00316D70" w14:paraId="4224563A" w14:textId="77777777">
            <w:pPr>
              <w:pStyle w:val="paragraph"/>
              <w:spacing w:before="0" w:beforeAutospacing="off" w:after="0" w:afterAutospacing="off"/>
              <w:ind w:left="1440"/>
              <w:jc w:val="both"/>
              <w:textAlignment w:val="baseline"/>
              <w:rPr>
                <w:rFonts w:ascii="Calibri" w:hAnsi="Calibri" w:eastAsia="Calibri" w:cs="Calibri" w:asciiTheme="minorAscii" w:hAnsiTheme="minorAscii" w:eastAsiaTheme="minorAscii" w:cstheme="minorAscii"/>
                <w:color w:val="auto"/>
                <w:sz w:val="22"/>
                <w:szCs w:val="22"/>
              </w:rPr>
            </w:pPr>
            <w:r w:rsidRPr="4A262852" w:rsidR="00316D70">
              <w:rPr>
                <w:rStyle w:val="normaltextrun"/>
                <w:rFonts w:ascii="Calibri" w:hAnsi="Calibri" w:eastAsia="Calibri" w:cs="Calibri" w:asciiTheme="minorAscii" w:hAnsiTheme="minorAscii" w:eastAsiaTheme="minorAscii" w:cstheme="minorAscii"/>
                <w:color w:val="auto"/>
                <w:sz w:val="22"/>
                <w:szCs w:val="22"/>
              </w:rPr>
              <w:t> </w:t>
            </w:r>
            <w:r w:rsidRPr="4A262852" w:rsidR="00316D70">
              <w:rPr>
                <w:rStyle w:val="eop"/>
                <w:rFonts w:ascii="Calibri" w:hAnsi="Calibri" w:eastAsia="Calibri" w:cs="Calibri" w:asciiTheme="minorAscii" w:hAnsiTheme="minorAscii" w:eastAsiaTheme="minorAscii" w:cstheme="minorAscii"/>
                <w:color w:val="auto"/>
                <w:sz w:val="22"/>
                <w:szCs w:val="22"/>
              </w:rPr>
              <w:t> </w:t>
            </w:r>
          </w:p>
          <w:p w:rsidR="00316D70" w:rsidP="4A262852" w:rsidRDefault="00316D70" w14:paraId="070CCAA3" w14:textId="77777777">
            <w:pPr>
              <w:pStyle w:val="paragraph"/>
              <w:spacing w:before="0" w:beforeAutospacing="off" w:after="0" w:afterAutospacing="off"/>
              <w:ind w:left="1440" w:firstLine="0"/>
              <w:jc w:val="both"/>
              <w:textAlignment w:val="baseline"/>
              <w:rPr>
                <w:rFonts w:ascii="Calibri" w:hAnsi="Calibri" w:eastAsia="Calibri" w:cs="Calibri" w:asciiTheme="minorAscii" w:hAnsiTheme="minorAscii" w:eastAsiaTheme="minorAscii" w:cstheme="minorAscii"/>
                <w:color w:val="auto"/>
                <w:sz w:val="22"/>
                <w:szCs w:val="22"/>
              </w:rPr>
            </w:pPr>
            <w:r w:rsidRPr="4A262852" w:rsidR="00316D70">
              <w:rPr>
                <w:rStyle w:val="normaltextrun"/>
                <w:rFonts w:ascii="Calibri" w:hAnsi="Calibri" w:eastAsia="Calibri" w:cs="Calibri" w:asciiTheme="minorAscii" w:hAnsiTheme="minorAscii" w:eastAsiaTheme="minorAscii" w:cstheme="minorAscii"/>
                <w:color w:val="auto"/>
                <w:sz w:val="22"/>
                <w:szCs w:val="22"/>
              </w:rPr>
              <w:t>Lessons are sequenced following the White Rose Maths long-term plans for the year group ability of the children in each class. This allows topics to be taught in an order which allows learning to build on prior knowledge from that year, but also from prior years.</w:t>
            </w:r>
            <w:r w:rsidRPr="4A262852" w:rsidR="00316D70">
              <w:rPr>
                <w:rStyle w:val="eop"/>
                <w:rFonts w:ascii="Calibri" w:hAnsi="Calibri" w:eastAsia="Calibri" w:cs="Calibri" w:asciiTheme="minorAscii" w:hAnsiTheme="minorAscii" w:eastAsiaTheme="minorAscii" w:cstheme="minorAscii"/>
                <w:color w:val="auto"/>
                <w:sz w:val="22"/>
                <w:szCs w:val="22"/>
              </w:rPr>
              <w:t> </w:t>
            </w:r>
          </w:p>
          <w:p w:rsidR="00316D70" w:rsidP="4A262852" w:rsidRDefault="00316D70" w14:paraId="10C68158" w14:textId="77777777">
            <w:pPr>
              <w:pStyle w:val="paragraph"/>
              <w:spacing w:before="0" w:beforeAutospacing="off" w:after="0" w:afterAutospacing="off"/>
              <w:ind w:left="2160" w:firstLine="0"/>
              <w:jc w:val="both"/>
              <w:textAlignment w:val="baseline"/>
              <w:rPr>
                <w:rFonts w:ascii="Calibri" w:hAnsi="Calibri" w:eastAsia="Calibri" w:cs="Calibri" w:asciiTheme="minorAscii" w:hAnsiTheme="minorAscii" w:eastAsiaTheme="minorAscii" w:cstheme="minorAscii"/>
                <w:color w:val="auto"/>
                <w:sz w:val="22"/>
                <w:szCs w:val="22"/>
              </w:rPr>
            </w:pPr>
            <w:r w:rsidRPr="4A262852" w:rsidR="00316D70">
              <w:rPr>
                <w:rStyle w:val="eop"/>
                <w:rFonts w:ascii="Calibri" w:hAnsi="Calibri" w:eastAsia="Calibri" w:cs="Calibri" w:asciiTheme="minorAscii" w:hAnsiTheme="minorAscii" w:eastAsiaTheme="minorAscii" w:cstheme="minorAscii"/>
                <w:color w:val="auto"/>
                <w:sz w:val="22"/>
                <w:szCs w:val="22"/>
              </w:rPr>
              <w:t> </w:t>
            </w:r>
          </w:p>
          <w:p w:rsidR="00316D70" w:rsidP="4A262852" w:rsidRDefault="00316D70" w14:paraId="2A5CD44D" w14:textId="77777777">
            <w:pPr>
              <w:pStyle w:val="paragraph"/>
              <w:spacing w:before="0" w:beforeAutospacing="off" w:after="0" w:afterAutospacing="off"/>
              <w:ind w:left="1440" w:firstLine="0"/>
              <w:jc w:val="both"/>
              <w:textAlignment w:val="baseline"/>
              <w:rPr>
                <w:rFonts w:ascii="Calibri" w:hAnsi="Calibri" w:eastAsia="Calibri" w:cs="Calibri" w:asciiTheme="minorAscii" w:hAnsiTheme="minorAscii" w:eastAsiaTheme="minorAscii" w:cstheme="minorAscii"/>
                <w:color w:val="auto"/>
                <w:sz w:val="22"/>
                <w:szCs w:val="22"/>
              </w:rPr>
            </w:pPr>
            <w:r w:rsidRPr="4A262852" w:rsidR="00316D70">
              <w:rPr>
                <w:rStyle w:val="normaltextrun"/>
                <w:rFonts w:ascii="Calibri" w:hAnsi="Calibri" w:eastAsia="Calibri" w:cs="Calibri" w:asciiTheme="minorAscii" w:hAnsiTheme="minorAscii" w:eastAsiaTheme="minorAscii" w:cstheme="minorAscii"/>
                <w:color w:val="auto"/>
                <w:sz w:val="22"/>
                <w:szCs w:val="22"/>
              </w:rPr>
              <w:t>Our mixed attainment approach utilises a concrete, pictorial, abstract approach to delivery to help our students see the Maths. We personalise needs through scaffolding/modelling and allowing time for independent practise throughout. The aspiration is that pupils learn fluency, reasoning and problem solving with the goal of mastering a topic area.  </w:t>
            </w:r>
            <w:r w:rsidRPr="4A262852" w:rsidR="00316D70">
              <w:rPr>
                <w:rStyle w:val="eop"/>
                <w:rFonts w:ascii="Calibri" w:hAnsi="Calibri" w:eastAsia="Calibri" w:cs="Calibri" w:asciiTheme="minorAscii" w:hAnsiTheme="minorAscii" w:eastAsiaTheme="minorAscii" w:cstheme="minorAscii"/>
                <w:color w:val="auto"/>
                <w:sz w:val="22"/>
                <w:szCs w:val="22"/>
              </w:rPr>
              <w:t> </w:t>
            </w:r>
          </w:p>
          <w:p w:rsidR="00316D70" w:rsidP="4A262852" w:rsidRDefault="00316D70" w14:paraId="464964D1" w14:textId="77777777">
            <w:pPr>
              <w:pStyle w:val="paragraph"/>
              <w:spacing w:before="0" w:beforeAutospacing="off" w:after="0" w:afterAutospacing="off"/>
              <w:ind w:left="1440"/>
              <w:jc w:val="both"/>
              <w:textAlignment w:val="baseline"/>
              <w:rPr>
                <w:rFonts w:ascii="Calibri" w:hAnsi="Calibri" w:eastAsia="Calibri" w:cs="Calibri" w:asciiTheme="minorAscii" w:hAnsiTheme="minorAscii" w:eastAsiaTheme="minorAscii" w:cstheme="minorAscii"/>
                <w:color w:val="auto"/>
                <w:sz w:val="22"/>
                <w:szCs w:val="22"/>
              </w:rPr>
            </w:pPr>
            <w:r w:rsidRPr="4A262852" w:rsidR="00316D70">
              <w:rPr>
                <w:rStyle w:val="normaltextrun"/>
                <w:rFonts w:ascii="Calibri" w:hAnsi="Calibri" w:eastAsia="Calibri" w:cs="Calibri" w:asciiTheme="minorAscii" w:hAnsiTheme="minorAscii" w:eastAsiaTheme="minorAscii" w:cstheme="minorAscii"/>
                <w:color w:val="auto"/>
                <w:sz w:val="22"/>
                <w:szCs w:val="22"/>
              </w:rPr>
              <w:t> </w:t>
            </w:r>
            <w:r w:rsidRPr="4A262852" w:rsidR="00316D70">
              <w:rPr>
                <w:rStyle w:val="eop"/>
                <w:rFonts w:ascii="Calibri" w:hAnsi="Calibri" w:eastAsia="Calibri" w:cs="Calibri" w:asciiTheme="minorAscii" w:hAnsiTheme="minorAscii" w:eastAsiaTheme="minorAscii" w:cstheme="minorAscii"/>
                <w:color w:val="auto"/>
                <w:sz w:val="22"/>
                <w:szCs w:val="22"/>
              </w:rPr>
              <w:t> </w:t>
            </w:r>
          </w:p>
          <w:p w:rsidR="00316D70" w:rsidP="4A262852" w:rsidRDefault="00316D70" w14:paraId="08AD6D69" w14:textId="77777777">
            <w:pPr>
              <w:pStyle w:val="paragraph"/>
              <w:spacing w:before="0" w:beforeAutospacing="off" w:after="0" w:afterAutospacing="off"/>
              <w:ind w:left="720"/>
              <w:jc w:val="both"/>
              <w:textAlignment w:val="baseline"/>
              <w:rPr>
                <w:rFonts w:ascii="Calibri" w:hAnsi="Calibri" w:eastAsia="Calibri" w:cs="Calibri" w:asciiTheme="minorAscii" w:hAnsiTheme="minorAscii" w:eastAsiaTheme="minorAscii" w:cstheme="minorAscii"/>
                <w:color w:val="auto"/>
                <w:sz w:val="22"/>
                <w:szCs w:val="22"/>
              </w:rPr>
            </w:pPr>
            <w:r w:rsidRPr="4A262852" w:rsidR="00316D70">
              <w:rPr>
                <w:rStyle w:val="normaltextrun"/>
                <w:rFonts w:ascii="Calibri" w:hAnsi="Calibri" w:eastAsia="Calibri" w:cs="Calibri" w:asciiTheme="minorAscii" w:hAnsiTheme="minorAscii" w:eastAsiaTheme="minorAscii" w:cstheme="minorAscii"/>
                <w:color w:val="auto"/>
                <w:sz w:val="22"/>
                <w:szCs w:val="22"/>
              </w:rPr>
              <w:t xml:space="preserve">We strongly encourage a rich vocabulary approach, where learners are immersed in the language </w:t>
            </w:r>
            <w:r w:rsidRPr="4A262852" w:rsidR="00316D70">
              <w:rPr>
                <w:rStyle w:val="normaltextrun"/>
                <w:rFonts w:ascii="Calibri" w:hAnsi="Calibri" w:eastAsia="Calibri" w:cs="Calibri" w:asciiTheme="minorAscii" w:hAnsiTheme="minorAscii" w:eastAsiaTheme="minorAscii" w:cstheme="minorAscii"/>
                <w:color w:val="auto"/>
                <w:sz w:val="22"/>
                <w:szCs w:val="22"/>
              </w:rPr>
              <w:t>required</w:t>
            </w:r>
            <w:r w:rsidRPr="4A262852" w:rsidR="00316D70">
              <w:rPr>
                <w:rStyle w:val="normaltextrun"/>
                <w:rFonts w:ascii="Calibri" w:hAnsi="Calibri" w:eastAsia="Calibri" w:cs="Calibri" w:asciiTheme="minorAscii" w:hAnsiTheme="minorAscii" w:eastAsiaTheme="minorAscii" w:cstheme="minorAscii"/>
                <w:color w:val="auto"/>
                <w:sz w:val="22"/>
                <w:szCs w:val="22"/>
              </w:rPr>
              <w:t xml:space="preserve"> to process, </w:t>
            </w:r>
            <w:r w:rsidRPr="4A262852" w:rsidR="00316D70">
              <w:rPr>
                <w:rStyle w:val="normaltextrun"/>
                <w:rFonts w:ascii="Calibri" w:hAnsi="Calibri" w:eastAsia="Calibri" w:cs="Calibri" w:asciiTheme="minorAscii" w:hAnsiTheme="minorAscii" w:eastAsiaTheme="minorAscii" w:cstheme="minorAscii"/>
                <w:color w:val="auto"/>
                <w:sz w:val="22"/>
                <w:szCs w:val="22"/>
              </w:rPr>
              <w:t>comprehend</w:t>
            </w:r>
            <w:r w:rsidRPr="4A262852" w:rsidR="00316D70">
              <w:rPr>
                <w:rStyle w:val="normaltextrun"/>
                <w:rFonts w:ascii="Calibri" w:hAnsi="Calibri" w:eastAsia="Calibri" w:cs="Calibri" w:asciiTheme="minorAscii" w:hAnsiTheme="minorAscii" w:eastAsiaTheme="minorAscii" w:cstheme="minorAscii"/>
                <w:color w:val="auto"/>
                <w:sz w:val="22"/>
                <w:szCs w:val="22"/>
              </w:rPr>
              <w:t>, and apply skills needed to achieve. At Coxlease school, we present our topics in a variety of ways to encourage ‘out of the box’ thinking and what naturally leads into discussion and evaluation. </w:t>
            </w:r>
            <w:r w:rsidRPr="4A262852" w:rsidR="00316D70">
              <w:rPr>
                <w:rStyle w:val="eop"/>
                <w:rFonts w:ascii="Calibri" w:hAnsi="Calibri" w:eastAsia="Calibri" w:cs="Calibri" w:asciiTheme="minorAscii" w:hAnsiTheme="minorAscii" w:eastAsiaTheme="minorAscii" w:cstheme="minorAscii"/>
                <w:color w:val="auto"/>
                <w:sz w:val="22"/>
                <w:szCs w:val="22"/>
              </w:rPr>
              <w:t> </w:t>
            </w:r>
          </w:p>
          <w:p w:rsidR="00316D70" w:rsidP="4A262852" w:rsidRDefault="00316D70" w14:paraId="004B1390" w14:textId="77777777">
            <w:pPr>
              <w:pStyle w:val="paragraph"/>
              <w:spacing w:before="0" w:beforeAutospacing="off" w:after="0" w:afterAutospacing="off"/>
              <w:ind w:left="720"/>
              <w:jc w:val="both"/>
              <w:textAlignment w:val="baseline"/>
              <w:rPr>
                <w:rFonts w:ascii="Calibri" w:hAnsi="Calibri" w:eastAsia="Calibri" w:cs="Calibri" w:asciiTheme="minorAscii" w:hAnsiTheme="minorAscii" w:eastAsiaTheme="minorAscii" w:cstheme="minorAscii"/>
                <w:color w:val="auto"/>
                <w:sz w:val="22"/>
                <w:szCs w:val="22"/>
              </w:rPr>
            </w:pPr>
            <w:r w:rsidRPr="4A262852" w:rsidR="00316D70">
              <w:rPr>
                <w:rStyle w:val="normaltextrun"/>
                <w:rFonts w:ascii="Calibri" w:hAnsi="Calibri" w:eastAsia="Calibri" w:cs="Calibri" w:asciiTheme="minorAscii" w:hAnsiTheme="minorAscii" w:eastAsiaTheme="minorAscii" w:cstheme="minorAscii"/>
                <w:color w:val="auto"/>
                <w:sz w:val="22"/>
                <w:szCs w:val="22"/>
              </w:rPr>
              <w:t> </w:t>
            </w:r>
            <w:r w:rsidRPr="4A262852" w:rsidR="00316D70">
              <w:rPr>
                <w:rStyle w:val="eop"/>
                <w:rFonts w:ascii="Calibri" w:hAnsi="Calibri" w:eastAsia="Calibri" w:cs="Calibri" w:asciiTheme="minorAscii" w:hAnsiTheme="minorAscii" w:eastAsiaTheme="minorAscii" w:cstheme="minorAscii"/>
                <w:color w:val="auto"/>
                <w:sz w:val="22"/>
                <w:szCs w:val="22"/>
              </w:rPr>
              <w:t> </w:t>
            </w:r>
          </w:p>
          <w:p w:rsidR="00316D70" w:rsidP="4A262852" w:rsidRDefault="00316D70" w14:paraId="5B3A3A8D" w14:textId="77777777">
            <w:pPr>
              <w:pStyle w:val="paragraph"/>
              <w:spacing w:before="0" w:beforeAutospacing="off" w:after="0" w:afterAutospacing="off"/>
              <w:ind w:left="720"/>
              <w:jc w:val="both"/>
              <w:textAlignment w:val="baseline"/>
              <w:rPr>
                <w:rFonts w:ascii="Calibri" w:hAnsi="Calibri" w:eastAsia="Calibri" w:cs="Calibri" w:asciiTheme="minorAscii" w:hAnsiTheme="minorAscii" w:eastAsiaTheme="minorAscii" w:cstheme="minorAscii"/>
                <w:color w:val="auto"/>
                <w:sz w:val="22"/>
                <w:szCs w:val="22"/>
              </w:rPr>
            </w:pPr>
            <w:r w:rsidRPr="4A262852" w:rsidR="00316D70">
              <w:rPr>
                <w:rStyle w:val="normaltextrun"/>
                <w:rFonts w:ascii="Calibri" w:hAnsi="Calibri" w:eastAsia="Calibri" w:cs="Calibri" w:asciiTheme="minorAscii" w:hAnsiTheme="minorAscii" w:eastAsiaTheme="minorAscii" w:cstheme="minorAscii"/>
                <w:color w:val="auto"/>
                <w:sz w:val="22"/>
                <w:szCs w:val="22"/>
              </w:rPr>
              <w:t> </w:t>
            </w:r>
            <w:r w:rsidRPr="4A262852" w:rsidR="00316D70">
              <w:rPr>
                <w:rStyle w:val="eop"/>
                <w:rFonts w:ascii="Calibri" w:hAnsi="Calibri" w:eastAsia="Calibri" w:cs="Calibri" w:asciiTheme="minorAscii" w:hAnsiTheme="minorAscii" w:eastAsiaTheme="minorAscii" w:cstheme="minorAscii"/>
                <w:color w:val="auto"/>
                <w:sz w:val="22"/>
                <w:szCs w:val="22"/>
              </w:rPr>
              <w:t> </w:t>
            </w:r>
          </w:p>
          <w:p w:rsidR="00316D70" w:rsidP="4A262852" w:rsidRDefault="00316D70" w14:paraId="63E518C0" w14:textId="77777777">
            <w:pPr>
              <w:pStyle w:val="paragraph"/>
              <w:spacing w:before="0" w:beforeAutospacing="off" w:after="0" w:afterAutospacing="off"/>
              <w:ind w:left="720"/>
              <w:jc w:val="both"/>
              <w:textAlignment w:val="baseline"/>
              <w:rPr>
                <w:rFonts w:ascii="Calibri" w:hAnsi="Calibri" w:eastAsia="Calibri" w:cs="Calibri" w:asciiTheme="minorAscii" w:hAnsiTheme="minorAscii" w:eastAsiaTheme="minorAscii" w:cstheme="minorAscii"/>
                <w:color w:val="auto"/>
                <w:sz w:val="22"/>
                <w:szCs w:val="22"/>
              </w:rPr>
            </w:pPr>
            <w:r w:rsidRPr="4A262852" w:rsidR="00316D70">
              <w:rPr>
                <w:rStyle w:val="normaltextrun"/>
                <w:rFonts w:ascii="Calibri" w:hAnsi="Calibri" w:eastAsia="Calibri" w:cs="Calibri" w:asciiTheme="minorAscii" w:hAnsiTheme="minorAscii" w:eastAsiaTheme="minorAscii" w:cstheme="minorAscii"/>
                <w:b w:val="1"/>
                <w:bCs w:val="1"/>
                <w:color w:val="auto"/>
                <w:sz w:val="22"/>
                <w:szCs w:val="22"/>
                <w:u w:val="single"/>
              </w:rPr>
              <w:t>Assessment </w:t>
            </w:r>
            <w:r w:rsidRPr="4A262852" w:rsidR="00316D70">
              <w:rPr>
                <w:rStyle w:val="normaltextrun"/>
                <w:rFonts w:ascii="Calibri" w:hAnsi="Calibri" w:eastAsia="Calibri" w:cs="Calibri" w:asciiTheme="minorAscii" w:hAnsiTheme="minorAscii" w:eastAsiaTheme="minorAscii" w:cstheme="minorAscii"/>
                <w:color w:val="auto"/>
                <w:sz w:val="22"/>
                <w:szCs w:val="22"/>
              </w:rPr>
              <w:t> </w:t>
            </w:r>
            <w:r w:rsidRPr="4A262852" w:rsidR="00316D70">
              <w:rPr>
                <w:rStyle w:val="eop"/>
                <w:rFonts w:ascii="Calibri" w:hAnsi="Calibri" w:eastAsia="Calibri" w:cs="Calibri" w:asciiTheme="minorAscii" w:hAnsiTheme="minorAscii" w:eastAsiaTheme="minorAscii" w:cstheme="minorAscii"/>
                <w:color w:val="auto"/>
                <w:sz w:val="22"/>
                <w:szCs w:val="22"/>
              </w:rPr>
              <w:t> </w:t>
            </w:r>
          </w:p>
          <w:p w:rsidR="00316D70" w:rsidP="4A262852" w:rsidRDefault="00316D70" w14:paraId="66F36AB2" w14:textId="77777777">
            <w:pPr>
              <w:pStyle w:val="paragraph"/>
              <w:spacing w:before="0" w:beforeAutospacing="off" w:after="0" w:afterAutospacing="off"/>
              <w:ind w:left="720"/>
              <w:jc w:val="both"/>
              <w:textAlignment w:val="baseline"/>
              <w:rPr>
                <w:rFonts w:ascii="Calibri" w:hAnsi="Calibri" w:eastAsia="Calibri" w:cs="Calibri" w:asciiTheme="minorAscii" w:hAnsiTheme="minorAscii" w:eastAsiaTheme="minorAscii" w:cstheme="minorAscii"/>
                <w:color w:val="auto"/>
                <w:sz w:val="22"/>
                <w:szCs w:val="22"/>
              </w:rPr>
            </w:pPr>
            <w:r w:rsidRPr="4A262852" w:rsidR="00316D70">
              <w:rPr>
                <w:rStyle w:val="normaltextrun"/>
                <w:rFonts w:ascii="Calibri" w:hAnsi="Calibri" w:eastAsia="Calibri" w:cs="Calibri" w:asciiTheme="minorAscii" w:hAnsiTheme="minorAscii" w:eastAsiaTheme="minorAscii" w:cstheme="minorAscii"/>
                <w:color w:val="auto"/>
                <w:sz w:val="22"/>
                <w:szCs w:val="22"/>
              </w:rPr>
              <w:t> </w:t>
            </w:r>
            <w:r w:rsidRPr="4A262852" w:rsidR="00316D70">
              <w:rPr>
                <w:rStyle w:val="eop"/>
                <w:rFonts w:ascii="Calibri" w:hAnsi="Calibri" w:eastAsia="Calibri" w:cs="Calibri" w:asciiTheme="minorAscii" w:hAnsiTheme="minorAscii" w:eastAsiaTheme="minorAscii" w:cstheme="minorAscii"/>
                <w:color w:val="auto"/>
                <w:sz w:val="22"/>
                <w:szCs w:val="22"/>
              </w:rPr>
              <w:t> </w:t>
            </w:r>
          </w:p>
          <w:p w:rsidR="00316D70" w:rsidP="4A262852" w:rsidRDefault="00316D70" w14:paraId="23510C8D" w14:textId="77777777">
            <w:pPr>
              <w:pStyle w:val="paragraph"/>
              <w:spacing w:before="0" w:beforeAutospacing="off" w:after="0" w:afterAutospacing="off"/>
              <w:ind w:left="720"/>
              <w:jc w:val="both"/>
              <w:textAlignment w:val="baseline"/>
              <w:rPr>
                <w:rFonts w:ascii="Calibri" w:hAnsi="Calibri" w:eastAsia="Calibri" w:cs="Calibri" w:asciiTheme="minorAscii" w:hAnsiTheme="minorAscii" w:eastAsiaTheme="minorAscii" w:cstheme="minorAscii"/>
                <w:color w:val="auto"/>
                <w:sz w:val="22"/>
                <w:szCs w:val="22"/>
              </w:rPr>
            </w:pPr>
            <w:r w:rsidRPr="4A262852" w:rsidR="00316D70">
              <w:rPr>
                <w:rStyle w:val="normaltextrun"/>
                <w:rFonts w:ascii="Calibri" w:hAnsi="Calibri" w:eastAsia="Calibri" w:cs="Calibri" w:asciiTheme="minorAscii" w:hAnsiTheme="minorAscii" w:eastAsiaTheme="minorAscii" w:cstheme="minorAscii"/>
                <w:color w:val="auto"/>
                <w:sz w:val="22"/>
                <w:szCs w:val="22"/>
              </w:rPr>
              <w:t xml:space="preserve">To ensure our students are making excellent progress and for gaps to be targeted and actioned, we use a summative assessment three times per the academic year. Rising Stars Assessments and New access Maths tests are used to standardise the process, and all students will undertake these. This supports teachers in </w:t>
            </w:r>
            <w:r w:rsidRPr="4A262852" w:rsidR="00316D70">
              <w:rPr>
                <w:rStyle w:val="normaltextrun"/>
                <w:rFonts w:ascii="Calibri" w:hAnsi="Calibri" w:eastAsia="Calibri" w:cs="Calibri" w:asciiTheme="minorAscii" w:hAnsiTheme="minorAscii" w:eastAsiaTheme="minorAscii" w:cstheme="minorAscii"/>
                <w:color w:val="auto"/>
                <w:sz w:val="22"/>
                <w:szCs w:val="22"/>
              </w:rPr>
              <w:t>identifying</w:t>
            </w:r>
            <w:r w:rsidRPr="4A262852" w:rsidR="00316D70">
              <w:rPr>
                <w:rStyle w:val="normaltextrun"/>
                <w:rFonts w:ascii="Calibri" w:hAnsi="Calibri" w:eastAsia="Calibri" w:cs="Calibri" w:asciiTheme="minorAscii" w:hAnsiTheme="minorAscii" w:eastAsiaTheme="minorAscii" w:cstheme="minorAscii"/>
                <w:color w:val="auto"/>
                <w:sz w:val="22"/>
                <w:szCs w:val="22"/>
              </w:rPr>
              <w:t xml:space="preserve"> specific topic gaps for individuals, allowing them to provide effective interventions when needed.  </w:t>
            </w:r>
            <w:r w:rsidRPr="4A262852" w:rsidR="00316D70">
              <w:rPr>
                <w:rStyle w:val="eop"/>
                <w:rFonts w:ascii="Calibri" w:hAnsi="Calibri" w:eastAsia="Calibri" w:cs="Calibri" w:asciiTheme="minorAscii" w:hAnsiTheme="minorAscii" w:eastAsiaTheme="minorAscii" w:cstheme="minorAscii"/>
                <w:color w:val="auto"/>
                <w:sz w:val="22"/>
                <w:szCs w:val="22"/>
              </w:rPr>
              <w:t> </w:t>
            </w:r>
          </w:p>
          <w:p w:rsidR="00316D70" w:rsidP="4A262852" w:rsidRDefault="00316D70" w14:paraId="775B478C" w14:textId="77777777">
            <w:pPr>
              <w:pStyle w:val="paragraph"/>
              <w:spacing w:before="0" w:beforeAutospacing="off" w:after="0" w:afterAutospacing="off"/>
              <w:ind w:left="720"/>
              <w:jc w:val="both"/>
              <w:textAlignment w:val="baseline"/>
              <w:rPr>
                <w:rFonts w:ascii="Calibri" w:hAnsi="Calibri" w:eastAsia="Calibri" w:cs="Calibri" w:asciiTheme="minorAscii" w:hAnsiTheme="minorAscii" w:eastAsiaTheme="minorAscii" w:cstheme="minorAscii"/>
                <w:color w:val="auto"/>
                <w:sz w:val="22"/>
                <w:szCs w:val="22"/>
              </w:rPr>
            </w:pPr>
            <w:r w:rsidRPr="4A262852" w:rsidR="00316D70">
              <w:rPr>
                <w:rStyle w:val="normaltextrun"/>
                <w:rFonts w:ascii="Calibri" w:hAnsi="Calibri" w:eastAsia="Calibri" w:cs="Calibri" w:asciiTheme="minorAscii" w:hAnsiTheme="minorAscii" w:eastAsiaTheme="minorAscii" w:cstheme="minorAscii"/>
                <w:color w:val="auto"/>
                <w:sz w:val="22"/>
                <w:szCs w:val="22"/>
              </w:rPr>
              <w:t> </w:t>
            </w:r>
            <w:r w:rsidRPr="4A262852" w:rsidR="00316D70">
              <w:rPr>
                <w:rStyle w:val="eop"/>
                <w:rFonts w:ascii="Calibri" w:hAnsi="Calibri" w:eastAsia="Calibri" w:cs="Calibri" w:asciiTheme="minorAscii" w:hAnsiTheme="minorAscii" w:eastAsiaTheme="minorAscii" w:cstheme="minorAscii"/>
                <w:color w:val="auto"/>
                <w:sz w:val="22"/>
                <w:szCs w:val="22"/>
              </w:rPr>
              <w:t> </w:t>
            </w:r>
          </w:p>
          <w:p w:rsidR="00316D70" w:rsidP="4A262852" w:rsidRDefault="00316D70" w14:paraId="03D4CD42" w14:textId="77777777">
            <w:pPr>
              <w:pStyle w:val="paragraph"/>
              <w:spacing w:before="0" w:beforeAutospacing="off" w:after="0" w:afterAutospacing="off"/>
              <w:ind w:left="720"/>
              <w:jc w:val="both"/>
              <w:textAlignment w:val="baseline"/>
              <w:rPr>
                <w:rFonts w:ascii="Calibri" w:hAnsi="Calibri" w:eastAsia="Calibri" w:cs="Calibri" w:asciiTheme="minorAscii" w:hAnsiTheme="minorAscii" w:eastAsiaTheme="minorAscii" w:cstheme="minorAscii"/>
                <w:color w:val="auto"/>
                <w:sz w:val="22"/>
                <w:szCs w:val="22"/>
              </w:rPr>
            </w:pPr>
            <w:r w:rsidRPr="4A262852" w:rsidR="00316D70">
              <w:rPr>
                <w:rStyle w:val="normaltextrun"/>
                <w:rFonts w:ascii="Calibri" w:hAnsi="Calibri" w:eastAsia="Calibri" w:cs="Calibri" w:asciiTheme="minorAscii" w:hAnsiTheme="minorAscii" w:eastAsiaTheme="minorAscii" w:cstheme="minorAscii"/>
                <w:color w:val="auto"/>
                <w:sz w:val="22"/>
                <w:szCs w:val="22"/>
              </w:rPr>
              <w:t>Assessment for Learning is at the forefront of our teaching model. Our students have opportunities to recap and use retrieval knowledge as a means of consolidating learning. We strongly believe this is an effective means of ensuring our students are confident mathematical learners.  </w:t>
            </w:r>
            <w:r w:rsidRPr="4A262852" w:rsidR="00316D70">
              <w:rPr>
                <w:rStyle w:val="eop"/>
                <w:rFonts w:ascii="Calibri" w:hAnsi="Calibri" w:eastAsia="Calibri" w:cs="Calibri" w:asciiTheme="minorAscii" w:hAnsiTheme="minorAscii" w:eastAsiaTheme="minorAscii" w:cstheme="minorAscii"/>
                <w:color w:val="auto"/>
                <w:sz w:val="22"/>
                <w:szCs w:val="22"/>
              </w:rPr>
              <w:t> </w:t>
            </w:r>
          </w:p>
          <w:p w:rsidR="00316D70" w:rsidP="4A262852" w:rsidRDefault="00316D70" w14:paraId="15D31926" w14:textId="77777777">
            <w:pPr>
              <w:pStyle w:val="paragraph"/>
              <w:spacing w:before="0" w:beforeAutospacing="off" w:after="0" w:afterAutospacing="off"/>
              <w:ind w:left="720"/>
              <w:jc w:val="both"/>
              <w:textAlignment w:val="baseline"/>
              <w:rPr>
                <w:rFonts w:ascii="Calibri" w:hAnsi="Calibri" w:eastAsia="Calibri" w:cs="Calibri" w:asciiTheme="minorAscii" w:hAnsiTheme="minorAscii" w:eastAsiaTheme="minorAscii" w:cstheme="minorAscii"/>
                <w:color w:val="auto"/>
                <w:sz w:val="22"/>
                <w:szCs w:val="22"/>
              </w:rPr>
            </w:pPr>
            <w:r w:rsidRPr="4A262852" w:rsidR="00316D70">
              <w:rPr>
                <w:rStyle w:val="normaltextrun"/>
                <w:rFonts w:ascii="Calibri" w:hAnsi="Calibri" w:eastAsia="Calibri" w:cs="Calibri" w:asciiTheme="minorAscii" w:hAnsiTheme="minorAscii" w:eastAsiaTheme="minorAscii" w:cstheme="minorAscii"/>
                <w:color w:val="auto"/>
                <w:sz w:val="22"/>
                <w:szCs w:val="22"/>
              </w:rPr>
              <w:t> </w:t>
            </w:r>
            <w:r w:rsidRPr="4A262852" w:rsidR="00316D70">
              <w:rPr>
                <w:rStyle w:val="eop"/>
                <w:rFonts w:ascii="Calibri" w:hAnsi="Calibri" w:eastAsia="Calibri" w:cs="Calibri" w:asciiTheme="minorAscii" w:hAnsiTheme="minorAscii" w:eastAsiaTheme="minorAscii" w:cstheme="minorAscii"/>
                <w:color w:val="auto"/>
                <w:sz w:val="22"/>
                <w:szCs w:val="22"/>
              </w:rPr>
              <w:t> </w:t>
            </w:r>
          </w:p>
          <w:p w:rsidR="00316D70" w:rsidP="4A262852" w:rsidRDefault="00316D70" w14:paraId="5E7874CF" w14:textId="77777777">
            <w:pPr>
              <w:pStyle w:val="paragraph"/>
              <w:spacing w:before="0" w:beforeAutospacing="off" w:after="0" w:afterAutospacing="off"/>
              <w:ind w:left="720"/>
              <w:jc w:val="both"/>
              <w:textAlignment w:val="baseline"/>
              <w:rPr>
                <w:rFonts w:ascii="Calibri" w:hAnsi="Calibri" w:eastAsia="Calibri" w:cs="Calibri" w:asciiTheme="minorAscii" w:hAnsiTheme="minorAscii" w:eastAsiaTheme="minorAscii" w:cstheme="minorAscii"/>
                <w:color w:val="auto"/>
                <w:sz w:val="22"/>
                <w:szCs w:val="22"/>
              </w:rPr>
            </w:pPr>
            <w:r w:rsidRPr="4A262852" w:rsidR="00316D70">
              <w:rPr>
                <w:rStyle w:val="normaltextrun"/>
                <w:rFonts w:ascii="Calibri" w:hAnsi="Calibri" w:eastAsia="Calibri" w:cs="Calibri" w:asciiTheme="minorAscii" w:hAnsiTheme="minorAscii" w:eastAsiaTheme="minorAscii" w:cstheme="minorAscii"/>
                <w:color w:val="auto"/>
                <w:sz w:val="22"/>
                <w:szCs w:val="22"/>
              </w:rPr>
              <w:t> </w:t>
            </w:r>
            <w:r w:rsidRPr="4A262852" w:rsidR="00316D70">
              <w:rPr>
                <w:rStyle w:val="eop"/>
                <w:rFonts w:ascii="Calibri" w:hAnsi="Calibri" w:eastAsia="Calibri" w:cs="Calibri" w:asciiTheme="minorAscii" w:hAnsiTheme="minorAscii" w:eastAsiaTheme="minorAscii" w:cstheme="minorAscii"/>
                <w:color w:val="auto"/>
                <w:sz w:val="22"/>
                <w:szCs w:val="22"/>
              </w:rPr>
              <w:t> </w:t>
            </w:r>
          </w:p>
          <w:p w:rsidRPr="0021017D" w:rsidR="00316D70" w:rsidP="4A262852" w:rsidRDefault="00316D70" w14:paraId="4B205EC5" w14:textId="4E261745">
            <w:pPr>
              <w:pStyle w:val="ListParagraph"/>
              <w:ind w:left="720"/>
              <w:jc w:val="both"/>
              <w:rPr>
                <w:rStyle w:val="eop"/>
                <w:rFonts w:ascii="Calibri" w:hAnsi="Calibri" w:eastAsia="Calibri" w:cs="Calibri" w:asciiTheme="minorAscii" w:hAnsiTheme="minorAscii" w:eastAsiaTheme="minorAscii" w:cstheme="minorAscii"/>
                <w:color w:val="auto"/>
                <w:sz w:val="22"/>
                <w:szCs w:val="22"/>
              </w:rPr>
            </w:pPr>
            <w:r w:rsidRPr="4A262852" w:rsidR="00316D70">
              <w:rPr>
                <w:rStyle w:val="normaltextrun"/>
                <w:rFonts w:ascii="Calibri" w:hAnsi="Calibri" w:eastAsia="Calibri" w:cs="Calibri" w:asciiTheme="minorAscii" w:hAnsiTheme="minorAscii" w:eastAsiaTheme="minorAscii" w:cstheme="minorAscii"/>
                <w:color w:val="auto"/>
                <w:sz w:val="22"/>
                <w:szCs w:val="22"/>
              </w:rPr>
              <w:t> </w:t>
            </w:r>
            <w:r w:rsidRPr="4A262852" w:rsidR="00316D70">
              <w:rPr>
                <w:rStyle w:val="eop"/>
                <w:rFonts w:ascii="Calibri" w:hAnsi="Calibri" w:eastAsia="Calibri" w:cs="Calibri" w:asciiTheme="minorAscii" w:hAnsiTheme="minorAscii" w:eastAsiaTheme="minorAscii" w:cstheme="minorAscii"/>
                <w:color w:val="auto"/>
                <w:sz w:val="22"/>
                <w:szCs w:val="22"/>
              </w:rPr>
              <w:t> </w:t>
            </w:r>
          </w:p>
        </w:tc>
      </w:tr>
      <w:tr w:rsidRPr="0021017D" w:rsidR="00316D70" w:rsidTr="4A262852" w14:paraId="2CC215D2" w14:textId="77777777">
        <w:tc>
          <w:tcPr>
            <w:tcW w:w="9050" w:type="dxa"/>
            <w:tcBorders>
              <w:top w:val="single" w:color="auto" w:sz="6" w:space="0"/>
              <w:left w:val="single" w:color="auto" w:sz="6" w:space="0"/>
              <w:bottom w:val="single" w:color="auto" w:sz="6" w:space="0"/>
              <w:right w:val="single" w:color="auto" w:sz="6" w:space="0"/>
            </w:tcBorders>
            <w:tcMar/>
          </w:tcPr>
          <w:p w:rsidRPr="0021017D" w:rsidR="00316D70" w:rsidP="00316D70" w:rsidRDefault="00316D70" w14:paraId="493C6381" w14:textId="06A50035">
            <w:pPr>
              <w:pStyle w:val="ListParagraph"/>
              <w:numPr>
                <w:ilvl w:val="0"/>
                <w:numId w:val="2"/>
              </w:numPr>
              <w:rPr>
                <w:b/>
              </w:rPr>
            </w:pPr>
            <w:r>
              <w:rPr>
                <w:rStyle w:val="normaltextrun"/>
                <w:rFonts w:ascii="Calibri" w:hAnsi="Calibri" w:cs="Calibri"/>
                <w:b/>
                <w:bCs/>
              </w:rPr>
              <w:lastRenderedPageBreak/>
              <w:t>Numeracy in KS4</w:t>
            </w:r>
            <w:r>
              <w:rPr>
                <w:rStyle w:val="normaltextrun"/>
                <w:rFonts w:ascii="Calibri" w:hAnsi="Calibri" w:cs="Calibri"/>
              </w:rPr>
              <w:t> </w:t>
            </w:r>
            <w:r>
              <w:rPr>
                <w:rStyle w:val="eop"/>
                <w:rFonts w:ascii="Calibri" w:hAnsi="Calibri" w:cs="Calibri"/>
              </w:rPr>
              <w:t> </w:t>
            </w:r>
          </w:p>
        </w:tc>
      </w:tr>
      <w:tr w:rsidRPr="0021017D" w:rsidR="00316D70" w:rsidTr="4A262852" w14:paraId="2B962D21" w14:textId="77777777">
        <w:tc>
          <w:tcPr>
            <w:tcW w:w="9050" w:type="dxa"/>
            <w:tcBorders>
              <w:top w:val="single" w:color="auto" w:sz="6" w:space="0"/>
              <w:left w:val="single" w:color="auto" w:sz="6" w:space="0"/>
              <w:bottom w:val="single" w:color="auto" w:sz="6" w:space="0"/>
              <w:right w:val="single" w:color="auto" w:sz="6" w:space="0"/>
            </w:tcBorders>
            <w:tcMar/>
          </w:tcPr>
          <w:p w:rsidR="00316D70" w:rsidP="00316D70" w:rsidRDefault="00316D70" w14:paraId="0305B18C" w14:textId="77777777">
            <w:pPr>
              <w:pStyle w:val="paragraph"/>
              <w:spacing w:before="0" w:beforeAutospacing="0" w:after="0" w:afterAutospacing="0"/>
              <w:ind w:left="315" w:hanging="315"/>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316D70" w:rsidP="00316D70" w:rsidRDefault="00316D70" w14:paraId="0C78F57F" w14:textId="77777777">
            <w:pPr>
              <w:pStyle w:val="paragraph"/>
              <w:spacing w:before="0" w:beforeAutospacing="0" w:after="0" w:afterAutospacing="0"/>
              <w:ind w:left="315" w:hanging="315"/>
              <w:textAlignment w:val="baseline"/>
              <w:rPr>
                <w:rFonts w:ascii="Segoe UI" w:hAnsi="Segoe UI" w:cs="Segoe UI"/>
                <w:sz w:val="18"/>
                <w:szCs w:val="18"/>
              </w:rPr>
            </w:pPr>
            <w:r>
              <w:rPr>
                <w:rStyle w:val="normaltextrun"/>
                <w:rFonts w:ascii="Calibri" w:hAnsi="Calibri" w:cs="Calibri"/>
                <w:b/>
                <w:bCs/>
                <w:sz w:val="22"/>
                <w:szCs w:val="22"/>
                <w:u w:val="single"/>
              </w:rPr>
              <w:t>Implementation</w:t>
            </w:r>
            <w:r>
              <w:rPr>
                <w:rStyle w:val="normaltextrun"/>
                <w:rFonts w:ascii="Calibri" w:hAnsi="Calibri" w:cs="Calibri"/>
                <w:sz w:val="22"/>
                <w:szCs w:val="22"/>
              </w:rPr>
              <w:t> </w:t>
            </w:r>
            <w:r>
              <w:rPr>
                <w:rStyle w:val="eop"/>
                <w:rFonts w:ascii="Calibri" w:hAnsi="Calibri" w:cs="Calibri"/>
                <w:sz w:val="22"/>
                <w:szCs w:val="22"/>
              </w:rPr>
              <w:t> </w:t>
            </w:r>
          </w:p>
          <w:p w:rsidR="00316D70" w:rsidP="00316D70" w:rsidRDefault="00316D70" w14:paraId="176EAE02" w14:textId="77777777">
            <w:pPr>
              <w:pStyle w:val="paragraph"/>
              <w:spacing w:before="0" w:beforeAutospacing="0" w:after="0" w:afterAutospacing="0"/>
              <w:ind w:left="315" w:hanging="315"/>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316D70" w:rsidP="00316D70" w:rsidRDefault="00316D70" w14:paraId="0C1634E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By key stage 4, most of our students have developed the resilience and knowledge to access a discrete model of teaching. We believe they have grasped the ‘real-life’ learning approach to mathematics and therefore are able to think rationally as to how to apply specific skills.  </w:t>
            </w:r>
            <w:r>
              <w:rPr>
                <w:rStyle w:val="eop"/>
                <w:rFonts w:ascii="Calibri" w:hAnsi="Calibri" w:cs="Calibri"/>
                <w:sz w:val="22"/>
                <w:szCs w:val="22"/>
              </w:rPr>
              <w:t> </w:t>
            </w:r>
          </w:p>
          <w:p w:rsidR="00316D70" w:rsidP="00316D70" w:rsidRDefault="00316D70" w14:paraId="4AF900C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Some students in our KS4 nurture classes do continue to have a primary model of teaching applied, ensuring consistency and routine. </w:t>
            </w:r>
            <w:r>
              <w:rPr>
                <w:rStyle w:val="eop"/>
                <w:rFonts w:ascii="Calibri" w:hAnsi="Calibri" w:cs="Calibri"/>
                <w:sz w:val="22"/>
                <w:szCs w:val="22"/>
              </w:rPr>
              <w:t> </w:t>
            </w:r>
          </w:p>
          <w:p w:rsidR="00316D70" w:rsidP="00316D70" w:rsidRDefault="00316D70" w14:paraId="4DA0064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At Coxlease School, our pupils experience a retrieval model, with adaptive teaching and scaffolding as well as the appropriate coverage to prepare them for achieving Functional skills qualification in mathematics, some students do take a GCSE in maths.  </w:t>
            </w:r>
            <w:r>
              <w:rPr>
                <w:rStyle w:val="eop"/>
                <w:rFonts w:ascii="Calibri" w:hAnsi="Calibri" w:cs="Calibri"/>
                <w:sz w:val="22"/>
                <w:szCs w:val="22"/>
              </w:rPr>
              <w:t> </w:t>
            </w:r>
          </w:p>
          <w:p w:rsidR="00316D70" w:rsidP="00316D70" w:rsidRDefault="00316D70" w14:paraId="0F1EDA6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316D70" w:rsidP="00316D70" w:rsidRDefault="00316D70" w14:paraId="2DAE0CE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Structure</w:t>
            </w:r>
            <w:r>
              <w:rPr>
                <w:rStyle w:val="normaltextrun"/>
                <w:rFonts w:ascii="Calibri" w:hAnsi="Calibri" w:cs="Calibri"/>
                <w:sz w:val="22"/>
                <w:szCs w:val="22"/>
              </w:rPr>
              <w:t> </w:t>
            </w:r>
            <w:r>
              <w:rPr>
                <w:rStyle w:val="eop"/>
                <w:rFonts w:ascii="Calibri" w:hAnsi="Calibri" w:cs="Calibri"/>
                <w:sz w:val="22"/>
                <w:szCs w:val="22"/>
              </w:rPr>
              <w:t> </w:t>
            </w:r>
          </w:p>
          <w:p w:rsidR="00316D70" w:rsidP="00316D70" w:rsidRDefault="00316D70" w14:paraId="0932693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316D70" w:rsidP="00316D70" w:rsidRDefault="00316D70" w14:paraId="6DFC2924" w14:textId="77777777">
            <w:pPr>
              <w:pStyle w:val="paragraph"/>
              <w:spacing w:before="0" w:beforeAutospacing="0" w:after="0" w:afterAutospacing="0"/>
              <w:ind w:left="315" w:hanging="315"/>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316D70" w:rsidP="4A262852" w:rsidRDefault="00316D70" w14:paraId="7DC33E10" w14:textId="77777777">
            <w:pPr>
              <w:pStyle w:val="paragraph"/>
              <w:spacing w:before="0" w:beforeAutospacing="off" w:after="0" w:afterAutospacing="off"/>
              <w:ind w:left="720" w:firstLine="0"/>
              <w:jc w:val="both"/>
              <w:textAlignment w:val="baseline"/>
              <w:rPr>
                <w:rFonts w:ascii="Calibri" w:hAnsi="Calibri" w:cs="Calibri"/>
                <w:sz w:val="22"/>
                <w:szCs w:val="22"/>
              </w:rPr>
            </w:pPr>
            <w:r w:rsidRPr="4A262852" w:rsidR="00316D70">
              <w:rPr>
                <w:rStyle w:val="normaltextrun"/>
                <w:rFonts w:ascii="Calibri" w:hAnsi="Calibri" w:cs="Calibri"/>
                <w:sz w:val="22"/>
                <w:szCs w:val="22"/>
              </w:rPr>
              <w:t>Students at key stage 4 are taught 45-minute lessons, 4x weekly.  </w:t>
            </w:r>
            <w:r w:rsidRPr="4A262852" w:rsidR="00316D70">
              <w:rPr>
                <w:rStyle w:val="eop"/>
                <w:rFonts w:ascii="Calibri" w:hAnsi="Calibri" w:cs="Calibri"/>
                <w:sz w:val="22"/>
                <w:szCs w:val="22"/>
              </w:rPr>
              <w:t> </w:t>
            </w:r>
          </w:p>
          <w:p w:rsidR="00316D70" w:rsidP="00316D70" w:rsidRDefault="00316D70" w14:paraId="4630F2E8"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316D70" w:rsidP="4A262852" w:rsidRDefault="00316D70" w14:paraId="5EE39B4D" w14:textId="77777777">
            <w:pPr>
              <w:pStyle w:val="paragraph"/>
              <w:spacing w:before="0" w:beforeAutospacing="off" w:after="0" w:afterAutospacing="off"/>
              <w:ind w:left="720" w:firstLine="0"/>
              <w:jc w:val="both"/>
              <w:textAlignment w:val="baseline"/>
              <w:rPr>
                <w:rFonts w:ascii="Calibri" w:hAnsi="Calibri" w:cs="Calibri"/>
                <w:sz w:val="22"/>
                <w:szCs w:val="22"/>
              </w:rPr>
            </w:pPr>
            <w:r w:rsidRPr="4A262852" w:rsidR="00316D70">
              <w:rPr>
                <w:rStyle w:val="normaltextrun"/>
                <w:rFonts w:ascii="Calibri" w:hAnsi="Calibri" w:cs="Calibri"/>
                <w:sz w:val="22"/>
                <w:szCs w:val="22"/>
              </w:rPr>
              <w:t>Most Students are taught discreetly utilising a ‘carousel curriculum model’ which runs over two years. This ensures that the breadth of the National Curriculum is covered. </w:t>
            </w:r>
            <w:r w:rsidRPr="4A262852" w:rsidR="00316D70">
              <w:rPr>
                <w:rStyle w:val="eop"/>
                <w:rFonts w:ascii="Calibri" w:hAnsi="Calibri" w:cs="Calibri"/>
                <w:sz w:val="22"/>
                <w:szCs w:val="22"/>
              </w:rPr>
              <w:t> </w:t>
            </w:r>
          </w:p>
          <w:p w:rsidR="4A262852" w:rsidP="4A262852" w:rsidRDefault="4A262852" w14:paraId="510B26B7" w14:textId="7CC776A0">
            <w:pPr>
              <w:pStyle w:val="paragraph"/>
              <w:spacing w:before="0" w:beforeAutospacing="off" w:after="0" w:afterAutospacing="off"/>
              <w:ind w:left="720" w:firstLine="0"/>
              <w:jc w:val="both"/>
              <w:rPr>
                <w:rStyle w:val="eop"/>
                <w:rFonts w:ascii="Calibri" w:hAnsi="Calibri" w:cs="Calibri"/>
                <w:sz w:val="22"/>
                <w:szCs w:val="22"/>
              </w:rPr>
            </w:pPr>
          </w:p>
          <w:p w:rsidR="00316D70" w:rsidP="4A262852" w:rsidRDefault="00316D70" w14:paraId="5CC9BDD3" w14:textId="77777777">
            <w:pPr>
              <w:pStyle w:val="paragraph"/>
              <w:spacing w:before="0" w:beforeAutospacing="off" w:after="0" w:afterAutospacing="off"/>
              <w:ind w:left="720" w:firstLine="0"/>
              <w:jc w:val="both"/>
              <w:textAlignment w:val="baseline"/>
              <w:rPr>
                <w:rFonts w:ascii="Calibri" w:hAnsi="Calibri" w:cs="Calibri"/>
                <w:sz w:val="22"/>
                <w:szCs w:val="22"/>
              </w:rPr>
            </w:pPr>
            <w:r w:rsidRPr="4A262852" w:rsidR="00316D70">
              <w:rPr>
                <w:rStyle w:val="normaltextrun"/>
                <w:rFonts w:ascii="Calibri" w:hAnsi="Calibri" w:cs="Calibri"/>
                <w:sz w:val="22"/>
                <w:szCs w:val="22"/>
              </w:rPr>
              <w:t>Some students continue to be taught in the nurture model. </w:t>
            </w:r>
            <w:r w:rsidRPr="4A262852" w:rsidR="00316D70">
              <w:rPr>
                <w:rStyle w:val="eop"/>
                <w:rFonts w:ascii="Calibri" w:hAnsi="Calibri" w:cs="Calibri"/>
                <w:sz w:val="22"/>
                <w:szCs w:val="22"/>
              </w:rPr>
              <w:t> </w:t>
            </w:r>
          </w:p>
          <w:p w:rsidR="00316D70" w:rsidP="00316D70" w:rsidRDefault="00316D70" w14:paraId="4284343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316D70" w:rsidP="4A262852" w:rsidRDefault="00316D70" w14:paraId="64D4501D" w14:textId="77777777">
            <w:pPr>
              <w:pStyle w:val="paragraph"/>
              <w:spacing w:before="0" w:beforeAutospacing="off" w:after="0" w:afterAutospacing="off"/>
              <w:ind w:left="720" w:firstLine="0"/>
              <w:textAlignment w:val="baseline"/>
              <w:rPr>
                <w:rFonts w:ascii="Calibri" w:hAnsi="Calibri" w:cs="Calibri"/>
                <w:sz w:val="22"/>
                <w:szCs w:val="22"/>
              </w:rPr>
            </w:pPr>
            <w:r w:rsidRPr="4A262852" w:rsidR="00316D70">
              <w:rPr>
                <w:rStyle w:val="normaltextrun"/>
                <w:rFonts w:ascii="Calibri" w:hAnsi="Calibri" w:cs="Calibri"/>
                <w:sz w:val="22"/>
                <w:szCs w:val="22"/>
              </w:rPr>
              <w:t>Personalisation is achieved through individual outcomes, ensuring the pupils are supported effectively, regardless of level, in the same overriding mathematical topics. </w:t>
            </w:r>
            <w:r w:rsidRPr="4A262852" w:rsidR="00316D70">
              <w:rPr>
                <w:rStyle w:val="eop"/>
                <w:rFonts w:ascii="Calibri" w:hAnsi="Calibri" w:cs="Calibri"/>
                <w:sz w:val="22"/>
                <w:szCs w:val="22"/>
              </w:rPr>
              <w:t> </w:t>
            </w:r>
          </w:p>
          <w:p w:rsidR="00316D70" w:rsidP="00316D70" w:rsidRDefault="00316D70" w14:paraId="4012477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316D70" w:rsidP="00316D70" w:rsidRDefault="00316D70" w14:paraId="184CA5C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316D70" w:rsidP="00316D70" w:rsidRDefault="00316D70" w14:paraId="4F7FAAD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Indeed, aspirational outcomes for learners ensure that pupils are Functional skills ready, with some going on to take GCSE; lessons are delivered at this level with scaffolding/modelling implemented to ensure that learners who are not working at this level are still supported.  </w:t>
            </w:r>
            <w:r>
              <w:rPr>
                <w:rStyle w:val="eop"/>
                <w:rFonts w:ascii="Calibri" w:hAnsi="Calibri" w:cs="Calibri"/>
                <w:sz w:val="22"/>
                <w:szCs w:val="22"/>
              </w:rPr>
              <w:t> </w:t>
            </w:r>
          </w:p>
          <w:p w:rsidR="00316D70" w:rsidP="4A262852" w:rsidRDefault="00316D70" w14:paraId="06AA542B" w14:textId="27108863">
            <w:pPr>
              <w:pStyle w:val="paragraph"/>
              <w:spacing w:before="0" w:beforeAutospacing="off" w:after="0" w:afterAutospacing="off"/>
              <w:ind w:left="315" w:hanging="315"/>
              <w:textAlignment w:val="baseline"/>
              <w:rPr>
                <w:rFonts w:ascii="Segoe UI" w:hAnsi="Segoe UI" w:cs="Segoe UI"/>
                <w:sz w:val="18"/>
                <w:szCs w:val="18"/>
              </w:rPr>
            </w:pPr>
            <w:r w:rsidRPr="4A262852" w:rsidR="00316D70">
              <w:rPr>
                <w:rStyle w:val="normaltextrun"/>
                <w:rFonts w:ascii="Calibri" w:hAnsi="Calibri" w:cs="Calibri"/>
                <w:sz w:val="22"/>
                <w:szCs w:val="22"/>
              </w:rPr>
              <w:t> </w:t>
            </w:r>
            <w:r w:rsidRPr="4A262852" w:rsidR="00316D70">
              <w:rPr>
                <w:rStyle w:val="eop"/>
                <w:rFonts w:ascii="Calibri" w:hAnsi="Calibri" w:cs="Calibri"/>
                <w:sz w:val="22"/>
                <w:szCs w:val="22"/>
              </w:rPr>
              <w:t> </w:t>
            </w:r>
          </w:p>
          <w:p w:rsidR="00316D70" w:rsidP="00316D70" w:rsidRDefault="00316D70" w14:paraId="4F6BAD9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316D70" w:rsidP="00316D70" w:rsidRDefault="00316D70" w14:paraId="70EF6DFE" w14:textId="77777777">
            <w:pPr>
              <w:pStyle w:val="paragraph"/>
              <w:spacing w:before="0" w:beforeAutospacing="0" w:after="0" w:afterAutospacing="0"/>
              <w:ind w:left="315" w:hanging="315"/>
              <w:textAlignment w:val="baseline"/>
              <w:rPr>
                <w:rFonts w:ascii="Segoe UI" w:hAnsi="Segoe UI" w:cs="Segoe UI"/>
                <w:sz w:val="18"/>
                <w:szCs w:val="18"/>
              </w:rPr>
            </w:pPr>
            <w:r>
              <w:rPr>
                <w:rStyle w:val="normaltextrun"/>
                <w:rFonts w:ascii="Calibri" w:hAnsi="Calibri" w:cs="Calibri"/>
                <w:b/>
                <w:bCs/>
                <w:sz w:val="22"/>
                <w:szCs w:val="22"/>
                <w:u w:val="single"/>
              </w:rPr>
              <w:t>Assessment &amp; Qualifications</w:t>
            </w:r>
            <w:r>
              <w:rPr>
                <w:rStyle w:val="normaltextrun"/>
                <w:rFonts w:ascii="Calibri" w:hAnsi="Calibri" w:cs="Calibri"/>
                <w:sz w:val="22"/>
                <w:szCs w:val="22"/>
              </w:rPr>
              <w:t> </w:t>
            </w:r>
            <w:r>
              <w:rPr>
                <w:rStyle w:val="eop"/>
                <w:rFonts w:ascii="Calibri" w:hAnsi="Calibri" w:cs="Calibri"/>
                <w:sz w:val="22"/>
                <w:szCs w:val="22"/>
              </w:rPr>
              <w:t> </w:t>
            </w:r>
          </w:p>
          <w:p w:rsidR="00316D70" w:rsidP="00316D70" w:rsidRDefault="00316D70" w14:paraId="2C5B97F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316D70" w:rsidP="00316D70" w:rsidRDefault="00316D70" w14:paraId="50E0DD5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To ensure that students continue to make progress and to identify gaps in their knowledge students continue to be assessed three times a year using summative assessment, Rising Stars Assessments and New Access Maths Assessments are used in order standardise the process and all students will undertake these. This supports teachers in identifying specific topic gaps for individuals, allowing them to provide effective interventions when needed.  </w:t>
            </w:r>
            <w:r>
              <w:rPr>
                <w:rStyle w:val="eop"/>
                <w:rFonts w:ascii="Calibri" w:hAnsi="Calibri" w:cs="Calibri"/>
                <w:sz w:val="22"/>
                <w:szCs w:val="22"/>
              </w:rPr>
              <w:t> </w:t>
            </w:r>
          </w:p>
          <w:p w:rsidR="00316D70" w:rsidP="00316D70" w:rsidRDefault="00316D70" w14:paraId="5D97C51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Their progress is tracked and recorded individually using our central documents.  </w:t>
            </w:r>
            <w:r>
              <w:rPr>
                <w:rStyle w:val="eop"/>
                <w:rFonts w:ascii="Calibri" w:hAnsi="Calibri" w:cs="Calibri"/>
                <w:sz w:val="22"/>
                <w:szCs w:val="22"/>
              </w:rPr>
              <w:t> </w:t>
            </w:r>
          </w:p>
          <w:p w:rsidR="00316D70" w:rsidP="00316D70" w:rsidRDefault="00316D70" w14:paraId="2271F56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Coverage is monitored through a breakdown of topic outcomes, for each pupil, and mapped to the curriculum map. </w:t>
            </w:r>
            <w:r>
              <w:rPr>
                <w:rStyle w:val="eop"/>
                <w:rFonts w:ascii="Calibri" w:hAnsi="Calibri" w:cs="Calibri"/>
                <w:sz w:val="22"/>
                <w:szCs w:val="22"/>
              </w:rPr>
              <w:t> </w:t>
            </w:r>
          </w:p>
          <w:p w:rsidR="00316D70" w:rsidP="00316D70" w:rsidRDefault="00316D70" w14:paraId="08E1352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316D70" w:rsidP="00316D70" w:rsidRDefault="00316D70" w14:paraId="42C1223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qualifications that are offered at Coxlease School, are as followed: </w:t>
            </w:r>
            <w:r>
              <w:rPr>
                <w:rStyle w:val="eop"/>
                <w:rFonts w:ascii="Calibri" w:hAnsi="Calibri" w:cs="Calibri"/>
                <w:sz w:val="22"/>
                <w:szCs w:val="22"/>
              </w:rPr>
              <w:t> </w:t>
            </w:r>
          </w:p>
          <w:p w:rsidR="00316D70" w:rsidP="00316D70" w:rsidRDefault="00316D70" w14:paraId="064A53E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tbl>
            <w:tblPr>
              <w:tblW w:w="0" w:type="dxa"/>
              <w:tblInd w:w="84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110"/>
            </w:tblGrid>
            <w:tr w:rsidR="00316D70" w14:paraId="623EEA61" w14:textId="77777777">
              <w:trPr>
                <w:trHeight w:val="300"/>
              </w:trPr>
              <w:tc>
                <w:tcPr>
                  <w:tcW w:w="7110" w:type="dxa"/>
                  <w:tcBorders>
                    <w:top w:val="single" w:color="auto" w:sz="6" w:space="0"/>
                    <w:left w:val="single" w:color="auto" w:sz="6" w:space="0"/>
                    <w:bottom w:val="single" w:color="auto" w:sz="6" w:space="0"/>
                    <w:right w:val="single" w:color="auto" w:sz="6" w:space="0"/>
                  </w:tcBorders>
                  <w:hideMark/>
                </w:tcPr>
                <w:p w:rsidR="00316D70" w:rsidP="00316D70" w:rsidRDefault="00316D70" w14:paraId="6C826A8F" w14:textId="77777777">
                  <w:pPr>
                    <w:pStyle w:val="paragraph"/>
                    <w:spacing w:before="0" w:beforeAutospacing="0" w:after="0" w:afterAutospacing="0"/>
                    <w:textAlignment w:val="baseline"/>
                  </w:pPr>
                  <w:r>
                    <w:rPr>
                      <w:rStyle w:val="normaltextrun"/>
                      <w:rFonts w:ascii="Calibri" w:hAnsi="Calibri" w:cs="Calibri"/>
                      <w:sz w:val="22"/>
                      <w:szCs w:val="22"/>
                    </w:rPr>
                    <w:t>Qualification  </w:t>
                  </w:r>
                  <w:r>
                    <w:rPr>
                      <w:rStyle w:val="eop"/>
                      <w:rFonts w:ascii="Calibri" w:hAnsi="Calibri" w:cs="Calibri"/>
                      <w:sz w:val="22"/>
                      <w:szCs w:val="22"/>
                    </w:rPr>
                    <w:t> </w:t>
                  </w:r>
                </w:p>
              </w:tc>
            </w:tr>
            <w:tr w:rsidR="00316D70" w14:paraId="357CCCA8" w14:textId="77777777">
              <w:trPr>
                <w:trHeight w:val="300"/>
              </w:trPr>
              <w:tc>
                <w:tcPr>
                  <w:tcW w:w="7110" w:type="dxa"/>
                  <w:tcBorders>
                    <w:top w:val="single" w:color="auto" w:sz="6" w:space="0"/>
                    <w:left w:val="single" w:color="auto" w:sz="6" w:space="0"/>
                    <w:bottom w:val="single" w:color="auto" w:sz="6" w:space="0"/>
                    <w:right w:val="single" w:color="auto" w:sz="6" w:space="0"/>
                  </w:tcBorders>
                  <w:hideMark/>
                </w:tcPr>
                <w:p w:rsidR="00316D70" w:rsidP="00316D70" w:rsidRDefault="00316D70" w14:paraId="22B283F3" w14:textId="77777777">
                  <w:pPr>
                    <w:pStyle w:val="paragraph"/>
                    <w:spacing w:before="0" w:beforeAutospacing="0" w:after="0" w:afterAutospacing="0"/>
                    <w:textAlignment w:val="baseline"/>
                  </w:pPr>
                  <w:r>
                    <w:rPr>
                      <w:rStyle w:val="normaltextrun"/>
                      <w:rFonts w:ascii="Tahoma" w:hAnsi="Tahoma" w:cs="Tahoma"/>
                      <w:i/>
                      <w:iCs/>
                      <w:sz w:val="20"/>
                      <w:szCs w:val="20"/>
                    </w:rPr>
                    <w:t>Entry Level Certificate 1, 2 &amp; 3 – Year 10 (ability dependent)</w:t>
                  </w:r>
                  <w:r>
                    <w:rPr>
                      <w:rStyle w:val="normaltextrun"/>
                      <w:sz w:val="20"/>
                      <w:szCs w:val="20"/>
                    </w:rPr>
                    <w:t> </w:t>
                  </w:r>
                  <w:r>
                    <w:rPr>
                      <w:rStyle w:val="eop"/>
                      <w:sz w:val="20"/>
                      <w:szCs w:val="20"/>
                    </w:rPr>
                    <w:t> </w:t>
                  </w:r>
                </w:p>
              </w:tc>
            </w:tr>
            <w:tr w:rsidR="00316D70" w14:paraId="70EDE887" w14:textId="77777777">
              <w:trPr>
                <w:trHeight w:val="300"/>
              </w:trPr>
              <w:tc>
                <w:tcPr>
                  <w:tcW w:w="7110" w:type="dxa"/>
                  <w:tcBorders>
                    <w:top w:val="single" w:color="auto" w:sz="6" w:space="0"/>
                    <w:left w:val="single" w:color="auto" w:sz="6" w:space="0"/>
                    <w:bottom w:val="single" w:color="auto" w:sz="6" w:space="0"/>
                    <w:right w:val="single" w:color="auto" w:sz="6" w:space="0"/>
                  </w:tcBorders>
                  <w:hideMark/>
                </w:tcPr>
                <w:p w:rsidR="00316D70" w:rsidP="00316D70" w:rsidRDefault="00316D70" w14:paraId="0FC41889" w14:textId="77777777">
                  <w:pPr>
                    <w:pStyle w:val="paragraph"/>
                    <w:spacing w:before="0" w:beforeAutospacing="0" w:after="0" w:afterAutospacing="0"/>
                    <w:textAlignment w:val="baseline"/>
                  </w:pPr>
                  <w:r>
                    <w:rPr>
                      <w:rStyle w:val="normaltextrun"/>
                      <w:rFonts w:ascii="Tahoma" w:hAnsi="Tahoma" w:cs="Tahoma"/>
                      <w:i/>
                      <w:iCs/>
                      <w:sz w:val="20"/>
                      <w:szCs w:val="20"/>
                    </w:rPr>
                    <w:t>AQA Functional Skills Level 1 - Year 10 - if assessed at a year 6 or above.</w:t>
                  </w:r>
                  <w:r>
                    <w:rPr>
                      <w:rStyle w:val="normaltextrun"/>
                      <w:sz w:val="20"/>
                      <w:szCs w:val="20"/>
                    </w:rPr>
                    <w:t> </w:t>
                  </w:r>
                  <w:r>
                    <w:rPr>
                      <w:rStyle w:val="eop"/>
                      <w:sz w:val="20"/>
                      <w:szCs w:val="20"/>
                    </w:rPr>
                    <w:t> </w:t>
                  </w:r>
                </w:p>
              </w:tc>
            </w:tr>
            <w:tr w:rsidR="00316D70" w14:paraId="4AE9E60C" w14:textId="77777777">
              <w:trPr>
                <w:trHeight w:val="300"/>
              </w:trPr>
              <w:tc>
                <w:tcPr>
                  <w:tcW w:w="7110" w:type="dxa"/>
                  <w:tcBorders>
                    <w:top w:val="single" w:color="auto" w:sz="6" w:space="0"/>
                    <w:left w:val="single" w:color="auto" w:sz="6" w:space="0"/>
                    <w:bottom w:val="single" w:color="auto" w:sz="6" w:space="0"/>
                    <w:right w:val="single" w:color="auto" w:sz="6" w:space="0"/>
                  </w:tcBorders>
                  <w:hideMark/>
                </w:tcPr>
                <w:p w:rsidR="00316D70" w:rsidP="00316D70" w:rsidRDefault="00316D70" w14:paraId="71FE7C0D" w14:textId="77777777">
                  <w:pPr>
                    <w:pStyle w:val="paragraph"/>
                    <w:spacing w:before="0" w:beforeAutospacing="0" w:after="0" w:afterAutospacing="0"/>
                    <w:textAlignment w:val="baseline"/>
                  </w:pPr>
                  <w:r>
                    <w:rPr>
                      <w:rStyle w:val="normaltextrun"/>
                      <w:rFonts w:ascii="Tahoma" w:hAnsi="Tahoma" w:cs="Tahoma"/>
                      <w:i/>
                      <w:iCs/>
                      <w:sz w:val="20"/>
                      <w:szCs w:val="20"/>
                    </w:rPr>
                    <w:t>AQA Functional Skills Level 2 - Year 11 - have passed level 1</w:t>
                  </w:r>
                  <w:r>
                    <w:rPr>
                      <w:rStyle w:val="normaltextrun"/>
                      <w:sz w:val="20"/>
                      <w:szCs w:val="20"/>
                    </w:rPr>
                    <w:t> </w:t>
                  </w:r>
                  <w:r>
                    <w:rPr>
                      <w:rStyle w:val="eop"/>
                      <w:sz w:val="20"/>
                      <w:szCs w:val="20"/>
                    </w:rPr>
                    <w:t> </w:t>
                  </w:r>
                </w:p>
              </w:tc>
            </w:tr>
            <w:tr w:rsidR="00316D70" w14:paraId="39473A21" w14:textId="77777777">
              <w:trPr>
                <w:trHeight w:val="300"/>
              </w:trPr>
              <w:tc>
                <w:tcPr>
                  <w:tcW w:w="7110" w:type="dxa"/>
                  <w:tcBorders>
                    <w:top w:val="single" w:color="auto" w:sz="6" w:space="0"/>
                    <w:left w:val="single" w:color="auto" w:sz="6" w:space="0"/>
                    <w:bottom w:val="single" w:color="auto" w:sz="6" w:space="0"/>
                    <w:right w:val="single" w:color="auto" w:sz="6" w:space="0"/>
                  </w:tcBorders>
                  <w:hideMark/>
                </w:tcPr>
                <w:p w:rsidR="00316D70" w:rsidP="00316D70" w:rsidRDefault="00316D70" w14:paraId="0A2B46C9" w14:textId="77777777">
                  <w:pPr>
                    <w:pStyle w:val="paragraph"/>
                    <w:spacing w:before="0" w:beforeAutospacing="0" w:after="0" w:afterAutospacing="0"/>
                    <w:textAlignment w:val="baseline"/>
                  </w:pPr>
                  <w:r>
                    <w:rPr>
                      <w:rStyle w:val="normaltextrun"/>
                      <w:rFonts w:ascii="Tahoma" w:hAnsi="Tahoma" w:cs="Tahoma"/>
                      <w:i/>
                      <w:iCs/>
                      <w:sz w:val="20"/>
                      <w:szCs w:val="20"/>
                    </w:rPr>
                    <w:t>AQA GCSE Mathematics - Foundation/Higher - year 11 (must be predicted at least a Grade 3 at GCSE and have passed or be taking Functional skills level 2)</w:t>
                  </w:r>
                  <w:r>
                    <w:rPr>
                      <w:rStyle w:val="normaltextrun"/>
                      <w:sz w:val="20"/>
                      <w:szCs w:val="20"/>
                    </w:rPr>
                    <w:t> </w:t>
                  </w:r>
                  <w:r>
                    <w:rPr>
                      <w:rStyle w:val="eop"/>
                      <w:sz w:val="20"/>
                      <w:szCs w:val="20"/>
                    </w:rPr>
                    <w:t> </w:t>
                  </w:r>
                </w:p>
              </w:tc>
            </w:tr>
          </w:tbl>
          <w:p w:rsidR="00316D70" w:rsidP="00316D70" w:rsidRDefault="00316D70" w14:paraId="7C8DC4C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316D70" w:rsidP="4A262852" w:rsidRDefault="00316D70" w14:paraId="126B8D05" w14:textId="42B94E66">
            <w:pPr>
              <w:pStyle w:val="paragraph"/>
              <w:spacing w:before="0" w:beforeAutospacing="off" w:after="0" w:afterAutospacing="off"/>
              <w:textAlignment w:val="baseline"/>
              <w:rPr>
                <w:rFonts w:ascii="Segoe UI" w:hAnsi="Segoe UI" w:cs="Segoe UI"/>
                <w:sz w:val="18"/>
                <w:szCs w:val="18"/>
              </w:rPr>
            </w:pPr>
            <w:r w:rsidRPr="4A262852" w:rsidR="00316D70">
              <w:rPr>
                <w:rStyle w:val="normaltextrun"/>
                <w:rFonts w:ascii="Calibri" w:hAnsi="Calibri" w:cs="Calibri"/>
                <w:sz w:val="22"/>
                <w:szCs w:val="22"/>
              </w:rPr>
              <w:t xml:space="preserve">The use of the pupils’ central documents and summative assessments supports teachers in the decision of </w:t>
            </w:r>
            <w:r w:rsidRPr="4A262852" w:rsidR="00316D70">
              <w:rPr>
                <w:rStyle w:val="normaltextrun"/>
                <w:rFonts w:ascii="Calibri" w:hAnsi="Calibri" w:cs="Calibri"/>
                <w:sz w:val="22"/>
                <w:szCs w:val="22"/>
              </w:rPr>
              <w:t>appropriate entry</w:t>
            </w:r>
            <w:r w:rsidRPr="4A262852" w:rsidR="00316D70">
              <w:rPr>
                <w:rStyle w:val="normaltextrun"/>
                <w:rFonts w:ascii="Calibri" w:hAnsi="Calibri" w:cs="Calibri"/>
                <w:sz w:val="22"/>
                <w:szCs w:val="22"/>
              </w:rPr>
              <w:t xml:space="preserve"> level for each individual and regular moderation ensures expected achievement are </w:t>
            </w:r>
            <w:r w:rsidRPr="4A262852" w:rsidR="00316D70">
              <w:rPr>
                <w:rStyle w:val="normaltextrun"/>
                <w:rFonts w:ascii="Calibri" w:hAnsi="Calibri" w:cs="Calibri"/>
                <w:sz w:val="22"/>
                <w:szCs w:val="22"/>
              </w:rPr>
              <w:t>accurate</w:t>
            </w:r>
            <w:r w:rsidRPr="4A262852" w:rsidR="00316D70">
              <w:rPr>
                <w:rStyle w:val="normaltextrun"/>
                <w:rFonts w:ascii="Calibri" w:hAnsi="Calibri" w:cs="Calibri"/>
                <w:sz w:val="22"/>
                <w:szCs w:val="22"/>
              </w:rPr>
              <w:t xml:space="preserve"> for all pupils. This includes ensuring our students </w:t>
            </w:r>
            <w:r w:rsidRPr="4A262852" w:rsidR="00316D70">
              <w:rPr>
                <w:rStyle w:val="normaltextrun"/>
                <w:rFonts w:ascii="Calibri" w:hAnsi="Calibri" w:cs="Calibri"/>
                <w:sz w:val="22"/>
                <w:szCs w:val="22"/>
              </w:rPr>
              <w:t>remain</w:t>
            </w:r>
            <w:r w:rsidRPr="4A262852" w:rsidR="00316D70">
              <w:rPr>
                <w:rStyle w:val="normaltextrun"/>
                <w:rFonts w:ascii="Calibri" w:hAnsi="Calibri" w:cs="Calibri"/>
                <w:sz w:val="22"/>
                <w:szCs w:val="22"/>
              </w:rPr>
              <w:t xml:space="preserve"> on track and provide the </w:t>
            </w:r>
            <w:r w:rsidRPr="4A262852" w:rsidR="00316D70">
              <w:rPr>
                <w:rStyle w:val="normaltextrun"/>
                <w:rFonts w:ascii="Calibri" w:hAnsi="Calibri" w:cs="Calibri"/>
                <w:sz w:val="22"/>
                <w:szCs w:val="22"/>
              </w:rPr>
              <w:t>appropriate support</w:t>
            </w:r>
            <w:r w:rsidRPr="4A262852" w:rsidR="00316D70">
              <w:rPr>
                <w:rStyle w:val="normaltextrun"/>
                <w:rFonts w:ascii="Calibri" w:hAnsi="Calibri" w:cs="Calibri"/>
                <w:sz w:val="22"/>
                <w:szCs w:val="22"/>
              </w:rPr>
              <w:t xml:space="preserve">, if </w:t>
            </w:r>
            <w:r w:rsidRPr="4A262852" w:rsidR="00316D70">
              <w:rPr>
                <w:rStyle w:val="normaltextrun"/>
                <w:rFonts w:ascii="Calibri" w:hAnsi="Calibri" w:cs="Calibri"/>
                <w:sz w:val="22"/>
                <w:szCs w:val="22"/>
              </w:rPr>
              <w:t>required</w:t>
            </w:r>
            <w:r w:rsidRPr="4A262852" w:rsidR="00316D70">
              <w:rPr>
                <w:rStyle w:val="normaltextrun"/>
                <w:rFonts w:ascii="Calibri" w:hAnsi="Calibri" w:cs="Calibri"/>
                <w:sz w:val="22"/>
                <w:szCs w:val="22"/>
              </w:rPr>
              <w:t>.  </w:t>
            </w:r>
            <w:r w:rsidRPr="4A262852" w:rsidR="00316D70">
              <w:rPr>
                <w:rStyle w:val="eop"/>
                <w:rFonts w:ascii="Calibri" w:hAnsi="Calibri" w:cs="Calibri"/>
                <w:sz w:val="22"/>
                <w:szCs w:val="22"/>
              </w:rPr>
              <w:t> </w:t>
            </w:r>
          </w:p>
          <w:p w:rsidRPr="0021017D" w:rsidR="00316D70" w:rsidP="00316D70" w:rsidRDefault="00316D70" w14:paraId="23165A62" w14:textId="430DB788">
            <w:pPr>
              <w:pStyle w:val="ListParagraph"/>
              <w:ind w:left="0"/>
            </w:pPr>
            <w:r>
              <w:rPr>
                <w:rStyle w:val="normaltextrun"/>
                <w:rFonts w:ascii="Calibri" w:hAnsi="Calibri" w:cs="Calibri"/>
              </w:rPr>
              <w:t> </w:t>
            </w:r>
            <w:r>
              <w:rPr>
                <w:rStyle w:val="eop"/>
                <w:rFonts w:ascii="Calibri" w:hAnsi="Calibri" w:cs="Calibri"/>
              </w:rPr>
              <w:t> </w:t>
            </w:r>
          </w:p>
        </w:tc>
      </w:tr>
      <w:tr w:rsidRPr="0021017D" w:rsidR="00316D70" w:rsidTr="4A262852" w14:paraId="4071A47B" w14:textId="77777777">
        <w:tc>
          <w:tcPr>
            <w:tcW w:w="9050" w:type="dxa"/>
            <w:tcBorders>
              <w:top w:val="single" w:color="auto" w:sz="6" w:space="0"/>
              <w:left w:val="single" w:color="auto" w:sz="6" w:space="0"/>
              <w:bottom w:val="single" w:color="auto" w:sz="6" w:space="0"/>
              <w:right w:val="single" w:color="auto" w:sz="6" w:space="0"/>
            </w:tcBorders>
            <w:tcMar/>
          </w:tcPr>
          <w:p w:rsidRPr="0021017D" w:rsidR="00316D70" w:rsidP="00316D70" w:rsidRDefault="00316D70" w14:paraId="3B4E286D" w14:textId="33FB3E5C">
            <w:pPr>
              <w:pStyle w:val="ListParagraph"/>
              <w:numPr>
                <w:ilvl w:val="0"/>
                <w:numId w:val="2"/>
              </w:numPr>
              <w:rPr>
                <w:b/>
              </w:rPr>
            </w:pPr>
            <w:r>
              <w:rPr>
                <w:rStyle w:val="normaltextrun"/>
                <w:rFonts w:ascii="Calibri" w:hAnsi="Calibri" w:cs="Calibri"/>
                <w:b/>
                <w:bCs/>
              </w:rPr>
              <w:lastRenderedPageBreak/>
              <w:t>Numeracy in post-16 </w:t>
            </w:r>
            <w:r>
              <w:rPr>
                <w:rStyle w:val="normaltextrun"/>
                <w:rFonts w:ascii="Calibri" w:hAnsi="Calibri" w:cs="Calibri"/>
              </w:rPr>
              <w:t> </w:t>
            </w:r>
            <w:r>
              <w:rPr>
                <w:rStyle w:val="eop"/>
                <w:rFonts w:ascii="Calibri" w:hAnsi="Calibri" w:cs="Calibri"/>
              </w:rPr>
              <w:t> </w:t>
            </w:r>
          </w:p>
        </w:tc>
      </w:tr>
      <w:tr w:rsidRPr="0021017D" w:rsidR="00316D70" w:rsidTr="4A262852" w14:paraId="1E9A0D7D" w14:textId="77777777">
        <w:tc>
          <w:tcPr>
            <w:tcW w:w="9050" w:type="dxa"/>
            <w:tcBorders>
              <w:top w:val="single" w:color="auto" w:sz="6" w:space="0"/>
              <w:left w:val="single" w:color="auto" w:sz="6" w:space="0"/>
              <w:bottom w:val="single" w:color="auto" w:sz="6" w:space="0"/>
              <w:right w:val="single" w:color="auto" w:sz="6" w:space="0"/>
            </w:tcBorders>
            <w:tcMar/>
          </w:tcPr>
          <w:p w:rsidR="00316D70" w:rsidP="00316D70" w:rsidRDefault="00316D70" w14:paraId="48942F7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316D70" w:rsidP="00316D70" w:rsidRDefault="00316D70" w14:paraId="77EE64A9" w14:textId="77777777">
            <w:pPr>
              <w:pStyle w:val="paragraph"/>
              <w:spacing w:before="0" w:beforeAutospacing="0" w:after="0" w:afterAutospacing="0"/>
              <w:ind w:left="315" w:hanging="315"/>
              <w:textAlignment w:val="baseline"/>
              <w:rPr>
                <w:rFonts w:ascii="Segoe UI" w:hAnsi="Segoe UI" w:cs="Segoe UI"/>
                <w:sz w:val="18"/>
                <w:szCs w:val="18"/>
              </w:rPr>
            </w:pPr>
            <w:r>
              <w:rPr>
                <w:rStyle w:val="normaltextrun"/>
                <w:rFonts w:ascii="Calibri" w:hAnsi="Calibri" w:cs="Calibri"/>
                <w:b/>
                <w:bCs/>
                <w:sz w:val="22"/>
                <w:szCs w:val="22"/>
                <w:u w:val="single"/>
              </w:rPr>
              <w:t>Implementation</w:t>
            </w:r>
            <w:r>
              <w:rPr>
                <w:rStyle w:val="normaltextrun"/>
                <w:rFonts w:ascii="Calibri" w:hAnsi="Calibri" w:cs="Calibri"/>
                <w:sz w:val="22"/>
                <w:szCs w:val="22"/>
              </w:rPr>
              <w:t> </w:t>
            </w:r>
            <w:r>
              <w:rPr>
                <w:rStyle w:val="eop"/>
                <w:rFonts w:ascii="Calibri" w:hAnsi="Calibri" w:cs="Calibri"/>
                <w:sz w:val="22"/>
                <w:szCs w:val="22"/>
              </w:rPr>
              <w:t> </w:t>
            </w:r>
          </w:p>
          <w:p w:rsidR="00316D70" w:rsidP="00316D70" w:rsidRDefault="00316D70" w14:paraId="0F98A594" w14:textId="77777777">
            <w:pPr>
              <w:pStyle w:val="paragraph"/>
              <w:spacing w:before="0" w:beforeAutospacing="0" w:after="0" w:afterAutospacing="0"/>
              <w:ind w:left="315" w:hanging="315"/>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316D70" w:rsidP="00316D70" w:rsidRDefault="00316D70" w14:paraId="6E14CDBE" w14:textId="77777777">
            <w:pPr>
              <w:pStyle w:val="paragraph"/>
              <w:spacing w:before="0" w:beforeAutospacing="0" w:after="0" w:afterAutospacing="0"/>
              <w:ind w:left="315" w:hanging="315"/>
              <w:textAlignment w:val="baseline"/>
              <w:rPr>
                <w:rFonts w:ascii="Segoe UI" w:hAnsi="Segoe UI" w:cs="Segoe UI"/>
                <w:sz w:val="18"/>
                <w:szCs w:val="18"/>
              </w:rPr>
            </w:pPr>
            <w:r>
              <w:rPr>
                <w:rStyle w:val="normaltextrun"/>
                <w:rFonts w:ascii="Calibri" w:hAnsi="Calibri" w:cs="Calibri"/>
                <w:sz w:val="22"/>
                <w:szCs w:val="22"/>
              </w:rPr>
              <w:t>What is being delivered and why?  </w:t>
            </w:r>
            <w:r>
              <w:rPr>
                <w:rStyle w:val="eop"/>
                <w:rFonts w:ascii="Calibri" w:hAnsi="Calibri" w:cs="Calibri"/>
                <w:sz w:val="22"/>
                <w:szCs w:val="22"/>
              </w:rPr>
              <w:t> </w:t>
            </w:r>
          </w:p>
          <w:p w:rsidR="00316D70" w:rsidP="00316D70" w:rsidRDefault="00316D70" w14:paraId="2F25EDF5" w14:textId="77777777">
            <w:pPr>
              <w:pStyle w:val="paragraph"/>
              <w:spacing w:before="0" w:beforeAutospacing="0" w:after="0" w:afterAutospacing="0"/>
              <w:ind w:left="315" w:hanging="315"/>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316D70" w:rsidP="00316D70" w:rsidRDefault="00316D70" w14:paraId="5D26944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Our post-16 provision promotes independence and ownership through a balance of taught sessions, target focus time and independent study time (2x taught, 1x BKSB – all at 50 minutes). </w:t>
            </w:r>
            <w:r>
              <w:rPr>
                <w:rStyle w:val="eop"/>
                <w:rFonts w:ascii="Calibri" w:hAnsi="Calibri" w:cs="Calibri"/>
                <w:sz w:val="22"/>
                <w:szCs w:val="22"/>
              </w:rPr>
              <w:t> </w:t>
            </w:r>
          </w:p>
          <w:p w:rsidR="00316D70" w:rsidP="00316D70" w:rsidRDefault="00316D70" w14:paraId="2C12BA6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316D70" w:rsidP="00316D70" w:rsidRDefault="00316D70" w14:paraId="65853EF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Following the Functional Skills expectations, students are taught a range of skills, which reflect real life concepts. This is to prepare our students for after education and their chosen paths. Teachers demonstrate the skills required to work successfully within a given topic area during their core lesson. This is followed by skill practise with the support of staff to consolidate taught skills. Interventions are on offer for students who may require additional support within that topic area.  </w:t>
            </w:r>
            <w:r>
              <w:rPr>
                <w:rStyle w:val="eop"/>
                <w:rFonts w:ascii="Calibri" w:hAnsi="Calibri" w:cs="Calibri"/>
                <w:sz w:val="22"/>
                <w:szCs w:val="22"/>
              </w:rPr>
              <w:t> </w:t>
            </w:r>
          </w:p>
          <w:p w:rsidR="00316D70" w:rsidP="00316D70" w:rsidRDefault="00316D70" w14:paraId="43CD126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316D70" w:rsidP="00316D70" w:rsidRDefault="00316D70" w14:paraId="2D4895C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Post-16 uses the BKSB programme to target areas of need within Mathematics. Each pupil completes topic assessments, with the outcome being targeted areas of study, on a personalised </w:t>
            </w:r>
            <w:r>
              <w:rPr>
                <w:rStyle w:val="normaltextrun"/>
                <w:rFonts w:ascii="Calibri" w:hAnsi="Calibri" w:cs="Calibri"/>
                <w:sz w:val="22"/>
                <w:szCs w:val="22"/>
              </w:rPr>
              <w:lastRenderedPageBreak/>
              <w:t>basis. This effectively encourages students to take ownership of their learning, whilst directing them specifically to a given skill that requires interventions.  </w:t>
            </w:r>
            <w:r>
              <w:rPr>
                <w:rStyle w:val="eop"/>
                <w:rFonts w:ascii="Calibri" w:hAnsi="Calibri" w:cs="Calibri"/>
                <w:sz w:val="22"/>
                <w:szCs w:val="22"/>
              </w:rPr>
              <w:t> </w:t>
            </w:r>
          </w:p>
          <w:p w:rsidR="00316D70" w:rsidP="00316D70" w:rsidRDefault="00316D70" w14:paraId="54A68CE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316D70" w:rsidP="00316D70" w:rsidRDefault="00316D70" w14:paraId="1478F1DC" w14:textId="77777777">
            <w:pPr>
              <w:pStyle w:val="paragraph"/>
              <w:spacing w:before="0" w:beforeAutospacing="0" w:after="0" w:afterAutospacing="0"/>
              <w:ind w:left="315" w:hanging="315"/>
              <w:textAlignment w:val="baseline"/>
              <w:rPr>
                <w:rFonts w:ascii="Segoe UI" w:hAnsi="Segoe UI" w:cs="Segoe UI"/>
                <w:sz w:val="18"/>
                <w:szCs w:val="18"/>
              </w:rPr>
            </w:pPr>
            <w:r>
              <w:rPr>
                <w:rStyle w:val="normaltextrun"/>
                <w:rFonts w:ascii="Calibri" w:hAnsi="Calibri" w:cs="Calibri"/>
                <w:b/>
                <w:bCs/>
                <w:sz w:val="22"/>
                <w:szCs w:val="22"/>
                <w:u w:val="single"/>
              </w:rPr>
              <w:t>Assessment &amp; Qualifications </w:t>
            </w:r>
            <w:r>
              <w:rPr>
                <w:rStyle w:val="normaltextrun"/>
                <w:rFonts w:ascii="Calibri" w:hAnsi="Calibri" w:cs="Calibri"/>
                <w:sz w:val="22"/>
                <w:szCs w:val="22"/>
              </w:rPr>
              <w:t> </w:t>
            </w:r>
            <w:r>
              <w:rPr>
                <w:rStyle w:val="eop"/>
                <w:rFonts w:ascii="Calibri" w:hAnsi="Calibri" w:cs="Calibri"/>
                <w:sz w:val="22"/>
                <w:szCs w:val="22"/>
              </w:rPr>
              <w:t> </w:t>
            </w:r>
          </w:p>
          <w:p w:rsidR="00316D70" w:rsidP="00316D70" w:rsidRDefault="00316D70" w14:paraId="7EE33A44" w14:textId="77777777">
            <w:pPr>
              <w:pStyle w:val="paragraph"/>
              <w:spacing w:before="0" w:beforeAutospacing="0" w:after="0" w:afterAutospacing="0"/>
              <w:ind w:left="315" w:hanging="315"/>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316D70" w:rsidP="00316D70" w:rsidRDefault="00316D70" w14:paraId="6E3F4F7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All our learners are monitored through our BKSB programme, with further intervention aimed at students who may require it.  </w:t>
            </w:r>
            <w:r>
              <w:rPr>
                <w:rStyle w:val="eop"/>
                <w:rFonts w:ascii="Calibri" w:hAnsi="Calibri" w:cs="Calibri"/>
                <w:sz w:val="22"/>
                <w:szCs w:val="22"/>
              </w:rPr>
              <w:t> </w:t>
            </w:r>
          </w:p>
          <w:p w:rsidR="00316D70" w:rsidP="00316D70" w:rsidRDefault="00316D70" w14:paraId="0DD97A4E" w14:textId="77777777">
            <w:pPr>
              <w:pStyle w:val="paragraph"/>
              <w:spacing w:before="0" w:beforeAutospacing="0" w:after="0" w:afterAutospacing="0"/>
              <w:ind w:left="315" w:hanging="315"/>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316D70" w:rsidP="4A262852" w:rsidRDefault="00316D70" w14:paraId="2BD955F7" w14:textId="0AD56EB7">
            <w:pPr>
              <w:pStyle w:val="paragraph"/>
              <w:spacing w:before="0" w:beforeAutospacing="off" w:after="0" w:afterAutospacing="off"/>
              <w:ind/>
              <w:textAlignment w:val="baseline"/>
              <w:rPr>
                <w:rFonts w:ascii="Calibri" w:hAnsi="Calibri" w:cs="Calibri"/>
                <w:sz w:val="22"/>
                <w:szCs w:val="22"/>
              </w:rPr>
            </w:pPr>
            <w:r w:rsidRPr="4A262852" w:rsidR="00316D70">
              <w:rPr>
                <w:rStyle w:val="normaltextrun"/>
                <w:rFonts w:ascii="Calibri" w:hAnsi="Calibri" w:cs="Calibri"/>
                <w:sz w:val="22"/>
                <w:szCs w:val="22"/>
              </w:rPr>
              <w:t>Our functional skills assessments allow our learners to be assessed through coursework, along with our functional skills testing as standard.  </w:t>
            </w:r>
            <w:r w:rsidRPr="4A262852" w:rsidR="00316D70">
              <w:rPr>
                <w:rStyle w:val="eop"/>
                <w:rFonts w:ascii="Calibri" w:hAnsi="Calibri" w:cs="Calibri"/>
                <w:sz w:val="22"/>
                <w:szCs w:val="22"/>
              </w:rPr>
              <w:t> </w:t>
            </w:r>
            <w:r w:rsidRPr="4A262852" w:rsidR="00316D70">
              <w:rPr>
                <w:rStyle w:val="normaltextrun"/>
                <w:rFonts w:ascii="Calibri" w:hAnsi="Calibri" w:cs="Calibri"/>
                <w:sz w:val="22"/>
                <w:szCs w:val="22"/>
              </w:rPr>
              <w:t> </w:t>
            </w:r>
            <w:r w:rsidRPr="4A262852" w:rsidR="00316D70">
              <w:rPr>
                <w:rStyle w:val="eop"/>
                <w:rFonts w:ascii="Calibri" w:hAnsi="Calibri" w:cs="Calibri"/>
                <w:sz w:val="22"/>
                <w:szCs w:val="22"/>
              </w:rPr>
              <w:t> </w:t>
            </w:r>
          </w:p>
          <w:p w:rsidR="00316D70" w:rsidP="00316D70" w:rsidRDefault="00316D70" w14:paraId="4BC3A8C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316D70" w:rsidP="00316D70" w:rsidRDefault="00316D70" w14:paraId="2C2E3E5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qualifications that are offered at our post-16 provision, are as followed: </w:t>
            </w:r>
            <w:r>
              <w:rPr>
                <w:rStyle w:val="eop"/>
                <w:rFonts w:ascii="Calibri" w:hAnsi="Calibri" w:cs="Calibri"/>
                <w:sz w:val="22"/>
                <w:szCs w:val="22"/>
              </w:rPr>
              <w:t> </w:t>
            </w:r>
          </w:p>
          <w:p w:rsidR="00316D70" w:rsidP="00316D70" w:rsidRDefault="00316D70" w14:paraId="051A9954"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tbl>
            <w:tblPr>
              <w:tblW w:w="0" w:type="dxa"/>
              <w:tblInd w:w="84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110"/>
            </w:tblGrid>
            <w:tr w:rsidR="00316D70" w14:paraId="7F3AD183" w14:textId="77777777">
              <w:trPr>
                <w:trHeight w:val="300"/>
              </w:trPr>
              <w:tc>
                <w:tcPr>
                  <w:tcW w:w="7110" w:type="dxa"/>
                  <w:tcBorders>
                    <w:top w:val="single" w:color="auto" w:sz="6" w:space="0"/>
                    <w:left w:val="single" w:color="auto" w:sz="6" w:space="0"/>
                    <w:bottom w:val="single" w:color="auto" w:sz="6" w:space="0"/>
                    <w:right w:val="single" w:color="auto" w:sz="6" w:space="0"/>
                  </w:tcBorders>
                  <w:hideMark/>
                </w:tcPr>
                <w:p w:rsidR="00316D70" w:rsidP="00316D70" w:rsidRDefault="00316D70" w14:paraId="6878D972" w14:textId="77777777">
                  <w:pPr>
                    <w:pStyle w:val="paragraph"/>
                    <w:spacing w:before="0" w:beforeAutospacing="0" w:after="0" w:afterAutospacing="0"/>
                    <w:jc w:val="center"/>
                    <w:textAlignment w:val="baseline"/>
                  </w:pPr>
                  <w:r>
                    <w:rPr>
                      <w:rStyle w:val="normaltextrun"/>
                      <w:rFonts w:ascii="Calibri" w:hAnsi="Calibri" w:cs="Calibri"/>
                      <w:b/>
                      <w:bCs/>
                    </w:rPr>
                    <w:t>Qualification</w:t>
                  </w:r>
                  <w:r>
                    <w:rPr>
                      <w:rStyle w:val="normaltextrun"/>
                      <w:rFonts w:ascii="Calibri" w:hAnsi="Calibri" w:cs="Calibri"/>
                    </w:rPr>
                    <w:t> </w:t>
                  </w:r>
                  <w:r>
                    <w:rPr>
                      <w:rStyle w:val="eop"/>
                      <w:rFonts w:ascii="Calibri" w:hAnsi="Calibri" w:cs="Calibri"/>
                    </w:rPr>
                    <w:t> </w:t>
                  </w:r>
                </w:p>
              </w:tc>
            </w:tr>
            <w:tr w:rsidR="00316D70" w14:paraId="0E0AD7A2" w14:textId="77777777">
              <w:trPr>
                <w:trHeight w:val="300"/>
              </w:trPr>
              <w:tc>
                <w:tcPr>
                  <w:tcW w:w="7110" w:type="dxa"/>
                  <w:tcBorders>
                    <w:top w:val="single" w:color="auto" w:sz="6" w:space="0"/>
                    <w:left w:val="single" w:color="auto" w:sz="6" w:space="0"/>
                    <w:bottom w:val="single" w:color="auto" w:sz="6" w:space="0"/>
                    <w:right w:val="single" w:color="auto" w:sz="6" w:space="0"/>
                  </w:tcBorders>
                  <w:hideMark/>
                </w:tcPr>
                <w:p w:rsidR="00316D70" w:rsidP="00316D70" w:rsidRDefault="00316D70" w14:paraId="0E848C66" w14:textId="77777777">
                  <w:pPr>
                    <w:pStyle w:val="paragraph"/>
                    <w:spacing w:before="0" w:beforeAutospacing="0" w:after="0" w:afterAutospacing="0"/>
                    <w:textAlignment w:val="baseline"/>
                  </w:pPr>
                  <w:r>
                    <w:rPr>
                      <w:rStyle w:val="normaltextrun"/>
                      <w:rFonts w:ascii="Tahoma" w:hAnsi="Tahoma" w:cs="Tahoma"/>
                      <w:i/>
                      <w:iCs/>
                      <w:sz w:val="20"/>
                      <w:szCs w:val="20"/>
                    </w:rPr>
                    <w:t>AQA Entry Level Certificate 1, 2 &amp; 3</w:t>
                  </w:r>
                  <w:r>
                    <w:rPr>
                      <w:rStyle w:val="normaltextrun"/>
                      <w:sz w:val="20"/>
                      <w:szCs w:val="20"/>
                    </w:rPr>
                    <w:t> </w:t>
                  </w:r>
                  <w:r>
                    <w:rPr>
                      <w:rStyle w:val="eop"/>
                      <w:sz w:val="20"/>
                      <w:szCs w:val="20"/>
                    </w:rPr>
                    <w:t> </w:t>
                  </w:r>
                </w:p>
              </w:tc>
            </w:tr>
            <w:tr w:rsidR="00316D70" w14:paraId="686000F7" w14:textId="77777777">
              <w:trPr>
                <w:trHeight w:val="300"/>
              </w:trPr>
              <w:tc>
                <w:tcPr>
                  <w:tcW w:w="7110" w:type="dxa"/>
                  <w:tcBorders>
                    <w:top w:val="single" w:color="auto" w:sz="6" w:space="0"/>
                    <w:left w:val="single" w:color="auto" w:sz="6" w:space="0"/>
                    <w:bottom w:val="single" w:color="auto" w:sz="6" w:space="0"/>
                    <w:right w:val="single" w:color="auto" w:sz="6" w:space="0"/>
                  </w:tcBorders>
                  <w:hideMark/>
                </w:tcPr>
                <w:p w:rsidR="00316D70" w:rsidP="00316D70" w:rsidRDefault="00316D70" w14:paraId="50FF2CA1" w14:textId="77777777">
                  <w:pPr>
                    <w:pStyle w:val="paragraph"/>
                    <w:spacing w:before="0" w:beforeAutospacing="0" w:after="0" w:afterAutospacing="0"/>
                    <w:textAlignment w:val="baseline"/>
                  </w:pPr>
                  <w:r>
                    <w:rPr>
                      <w:rStyle w:val="normaltextrun"/>
                      <w:rFonts w:ascii="Tahoma" w:hAnsi="Tahoma" w:cs="Tahoma"/>
                      <w:i/>
                      <w:iCs/>
                      <w:sz w:val="20"/>
                      <w:szCs w:val="20"/>
                    </w:rPr>
                    <w:t>AQA Functional Skills Level 1 &amp; 2 </w:t>
                  </w:r>
                  <w:r>
                    <w:rPr>
                      <w:rStyle w:val="normaltextrun"/>
                      <w:sz w:val="20"/>
                      <w:szCs w:val="20"/>
                    </w:rPr>
                    <w:t> </w:t>
                  </w:r>
                  <w:r>
                    <w:rPr>
                      <w:rStyle w:val="eop"/>
                      <w:sz w:val="20"/>
                      <w:szCs w:val="20"/>
                    </w:rPr>
                    <w:t> </w:t>
                  </w:r>
                </w:p>
              </w:tc>
            </w:tr>
            <w:tr w:rsidR="00316D70" w14:paraId="39C3B54D" w14:textId="77777777">
              <w:trPr>
                <w:trHeight w:val="300"/>
              </w:trPr>
              <w:tc>
                <w:tcPr>
                  <w:tcW w:w="7110" w:type="dxa"/>
                  <w:tcBorders>
                    <w:top w:val="single" w:color="auto" w:sz="6" w:space="0"/>
                    <w:left w:val="single" w:color="auto" w:sz="6" w:space="0"/>
                    <w:bottom w:val="single" w:color="auto" w:sz="6" w:space="0"/>
                    <w:right w:val="single" w:color="auto" w:sz="6" w:space="0"/>
                  </w:tcBorders>
                  <w:hideMark/>
                </w:tcPr>
                <w:p w:rsidR="00316D70" w:rsidP="00316D70" w:rsidRDefault="00316D70" w14:paraId="4611F3D3" w14:textId="4AF64E73">
                  <w:pPr>
                    <w:pStyle w:val="paragraph"/>
                    <w:spacing w:before="0" w:beforeAutospacing="0" w:after="0" w:afterAutospacing="0"/>
                    <w:textAlignment w:val="baseline"/>
                  </w:pPr>
                  <w:r>
                    <w:rPr>
                      <w:rStyle w:val="normaltextrun"/>
                      <w:rFonts w:ascii="Tahoma" w:hAnsi="Tahoma" w:cs="Tahoma"/>
                      <w:i/>
                      <w:iCs/>
                      <w:sz w:val="20"/>
                      <w:szCs w:val="20"/>
                    </w:rPr>
                    <w:t>AQA GCSE Mathematics (when applicable) </w:t>
                  </w:r>
                  <w:r>
                    <w:rPr>
                      <w:rStyle w:val="normaltextrun"/>
                      <w:sz w:val="20"/>
                      <w:szCs w:val="20"/>
                    </w:rPr>
                    <w:t xml:space="preserve"> </w:t>
                  </w:r>
                </w:p>
              </w:tc>
            </w:tr>
          </w:tbl>
          <w:p w:rsidRPr="0021017D" w:rsidR="00316D70" w:rsidP="00316D70" w:rsidRDefault="00316D70" w14:paraId="74849D78" w14:textId="240F2809">
            <w:pPr>
              <w:pStyle w:val="ListParagraph"/>
              <w:ind w:left="0"/>
            </w:pPr>
            <w:r>
              <w:rPr>
                <w:rStyle w:val="normaltextrun"/>
                <w:rFonts w:ascii="Calibri" w:hAnsi="Calibri" w:cs="Calibri"/>
              </w:rPr>
              <w:t> </w:t>
            </w:r>
            <w:r>
              <w:rPr>
                <w:rStyle w:val="eop"/>
                <w:rFonts w:ascii="Calibri" w:hAnsi="Calibri" w:cs="Calibri"/>
              </w:rPr>
              <w:t> </w:t>
            </w:r>
          </w:p>
        </w:tc>
      </w:tr>
    </w:tbl>
    <w:p w:rsidR="4A262852" w:rsidRDefault="4A262852" w14:paraId="5FAE2E8D" w14:textId="07C8167F"/>
    <w:p w:rsidR="00847CED" w:rsidP="00847CED" w:rsidRDefault="00847CED" w14:paraId="4B166EB5" w14:textId="77777777">
      <w:pPr>
        <w:pStyle w:val="ListParagraph"/>
        <w:rPr>
          <w:b/>
        </w:rPr>
      </w:pPr>
    </w:p>
    <w:p w:rsidR="00847CED" w:rsidP="4A262852" w:rsidRDefault="00847CED" w14:paraId="7B66436D" w14:textId="1A5C7E66">
      <w:pPr>
        <w:pStyle w:val="Normal"/>
        <w:rPr>
          <w:b w:val="1"/>
          <w:bCs w:val="1"/>
        </w:rPr>
      </w:pPr>
    </w:p>
    <w:tbl>
      <w:tblPr>
        <w:tblStyle w:val="TableGrid"/>
        <w:tblW w:w="0" w:type="auto"/>
        <w:tblLook w:val="04A0" w:firstRow="1" w:lastRow="0" w:firstColumn="1" w:lastColumn="0" w:noHBand="0" w:noVBand="1"/>
      </w:tblPr>
      <w:tblGrid>
        <w:gridCol w:w="4137"/>
        <w:gridCol w:w="395"/>
        <w:gridCol w:w="4143"/>
        <w:gridCol w:w="341"/>
      </w:tblGrid>
      <w:tr w:rsidRPr="003F7118" w:rsidR="00847CED" w:rsidTr="4A262852" w14:paraId="2C8CA4BE" w14:textId="77777777">
        <w:tc>
          <w:tcPr>
            <w:tcW w:w="9016" w:type="dxa"/>
            <w:gridSpan w:val="4"/>
            <w:shd w:val="clear" w:color="auto" w:fill="C6D9F1" w:themeFill="text2" w:themeFillTint="33"/>
            <w:tcMar/>
          </w:tcPr>
          <w:p w:rsidRPr="003F7118" w:rsidR="00847CED" w:rsidRDefault="00847CED" w14:paraId="1D359B1F" w14:textId="15BDD9D0">
            <w:pPr>
              <w:rPr>
                <w:b/>
              </w:rPr>
            </w:pPr>
            <w:r w:rsidRPr="003F7118">
              <w:rPr>
                <w:b/>
              </w:rPr>
              <w:t>Contents Checklist (Local S</w:t>
            </w:r>
            <w:r w:rsidRPr="003F7118" w:rsidR="00CA15C8">
              <w:rPr>
                <w:b/>
              </w:rPr>
              <w:t>ervice</w:t>
            </w:r>
            <w:r w:rsidRPr="003F7118">
              <w:rPr>
                <w:b/>
              </w:rPr>
              <w:t>s may add additional items – this is a core list)</w:t>
            </w:r>
          </w:p>
        </w:tc>
      </w:tr>
      <w:tr w:rsidRPr="003F7118" w:rsidR="00784DBC" w:rsidTr="4A262852" w14:paraId="163D96B9" w14:textId="77777777">
        <w:tc>
          <w:tcPr>
            <w:tcW w:w="4137" w:type="dxa"/>
            <w:tcMar/>
          </w:tcPr>
          <w:p w:rsidRPr="003F7118" w:rsidR="00F21E60" w:rsidRDefault="003863AB" w14:paraId="2A98D482" w14:textId="3A127D29">
            <w:pPr>
              <w:rPr>
                <w:bCs/>
              </w:rPr>
            </w:pPr>
            <w:r w:rsidRPr="003F7118">
              <w:rPr>
                <w:bCs/>
              </w:rPr>
              <w:t>Rationale underpinning the curriculum</w:t>
            </w:r>
            <w:r w:rsidRPr="003F7118" w:rsidR="008B35B0">
              <w:rPr>
                <w:bCs/>
              </w:rPr>
              <w:t xml:space="preserve"> – </w:t>
            </w:r>
            <w:r w:rsidR="004B3015">
              <w:rPr>
                <w:bCs/>
              </w:rPr>
              <w:t>design</w:t>
            </w:r>
            <w:r w:rsidRPr="003F7118" w:rsidR="008B35B0">
              <w:rPr>
                <w:bCs/>
              </w:rPr>
              <w:t xml:space="preserve">, </w:t>
            </w:r>
            <w:r w:rsidR="003C4263">
              <w:rPr>
                <w:bCs/>
              </w:rPr>
              <w:t>delivery and i</w:t>
            </w:r>
            <w:r w:rsidRPr="003F7118" w:rsidR="008B35B0">
              <w:rPr>
                <w:bCs/>
              </w:rPr>
              <w:t>mpact</w:t>
            </w:r>
          </w:p>
        </w:tc>
        <w:tc>
          <w:tcPr>
            <w:tcW w:w="395" w:type="dxa"/>
            <w:tcMar/>
          </w:tcPr>
          <w:p w:rsidRPr="003F7118" w:rsidR="00847CED" w:rsidRDefault="00847CED" w14:paraId="441D3DA4" w14:textId="5C277AF1">
            <w:pPr/>
            <w:r w:rsidR="1ED2C5E2">
              <w:rPr/>
              <w:t>x</w:t>
            </w:r>
          </w:p>
        </w:tc>
        <w:tc>
          <w:tcPr>
            <w:tcW w:w="4143" w:type="dxa"/>
            <w:tcMar/>
          </w:tcPr>
          <w:p w:rsidRPr="003F7118" w:rsidR="002E7BC7" w:rsidP="00FE1B0D" w:rsidRDefault="002E7BC7" w14:paraId="30D2A22F" w14:textId="511E679E">
            <w:pPr>
              <w:rPr>
                <w:bCs/>
              </w:rPr>
            </w:pPr>
          </w:p>
        </w:tc>
        <w:tc>
          <w:tcPr>
            <w:tcW w:w="341" w:type="dxa"/>
            <w:tcMar/>
          </w:tcPr>
          <w:p w:rsidRPr="003F7118" w:rsidR="00847CED" w:rsidRDefault="00847CED" w14:paraId="1BA4A43E" w14:textId="77777777">
            <w:pPr>
              <w:rPr>
                <w:bCs/>
              </w:rPr>
            </w:pPr>
          </w:p>
        </w:tc>
      </w:tr>
      <w:tr w:rsidRPr="003F7118" w:rsidR="003F7118" w:rsidTr="4A262852" w14:paraId="27C1867C" w14:textId="77777777">
        <w:tc>
          <w:tcPr>
            <w:tcW w:w="4137" w:type="dxa"/>
            <w:tcMar/>
          </w:tcPr>
          <w:p w:rsidRPr="003F7118" w:rsidR="003F7118" w:rsidRDefault="003F7118" w14:paraId="7C7B7749" w14:textId="2D390B65">
            <w:pPr>
              <w:rPr>
                <w:bCs/>
              </w:rPr>
            </w:pPr>
            <w:r w:rsidRPr="003F7118">
              <w:rPr>
                <w:bCs/>
              </w:rPr>
              <w:t>Reference the ISS</w:t>
            </w:r>
          </w:p>
        </w:tc>
        <w:tc>
          <w:tcPr>
            <w:tcW w:w="395" w:type="dxa"/>
            <w:tcMar/>
          </w:tcPr>
          <w:p w:rsidRPr="003F7118" w:rsidR="003F7118" w:rsidRDefault="003F7118" w14:paraId="279C2B20" w14:textId="3B2622B7">
            <w:pPr/>
            <w:r w:rsidR="778205CB">
              <w:rPr/>
              <w:t>x</w:t>
            </w:r>
          </w:p>
        </w:tc>
        <w:tc>
          <w:tcPr>
            <w:tcW w:w="4143" w:type="dxa"/>
            <w:tcMar/>
          </w:tcPr>
          <w:p w:rsidRPr="003F7118" w:rsidR="003F7118" w:rsidP="00FE1B0D" w:rsidRDefault="003F7118" w14:paraId="2D2F2AFD" w14:textId="741E9CA9">
            <w:pPr>
              <w:rPr>
                <w:bCs/>
              </w:rPr>
            </w:pPr>
          </w:p>
        </w:tc>
        <w:tc>
          <w:tcPr>
            <w:tcW w:w="341" w:type="dxa"/>
            <w:tcMar/>
          </w:tcPr>
          <w:p w:rsidRPr="003F7118" w:rsidR="003F7118" w:rsidRDefault="003F7118" w14:paraId="059106E1" w14:textId="77777777">
            <w:pPr>
              <w:rPr>
                <w:bCs/>
              </w:rPr>
            </w:pPr>
          </w:p>
        </w:tc>
      </w:tr>
      <w:tr w:rsidRPr="003F7118" w:rsidR="003F7118" w:rsidTr="4A262852" w14:paraId="531A4082" w14:textId="77777777">
        <w:tc>
          <w:tcPr>
            <w:tcW w:w="4137" w:type="dxa"/>
            <w:tcMar/>
          </w:tcPr>
          <w:p w:rsidRPr="003F7118" w:rsidR="003F7118" w:rsidRDefault="003F7118" w14:paraId="71B23BC7" w14:textId="5316E84C">
            <w:pPr>
              <w:rPr>
                <w:bCs/>
              </w:rPr>
            </w:pPr>
            <w:r w:rsidRPr="003F7118">
              <w:rPr>
                <w:bCs/>
              </w:rPr>
              <w:t>Purpose and Scope, Aims and Vision of the curriculum</w:t>
            </w:r>
          </w:p>
        </w:tc>
        <w:tc>
          <w:tcPr>
            <w:tcW w:w="395" w:type="dxa"/>
            <w:tcMar/>
          </w:tcPr>
          <w:p w:rsidRPr="003F7118" w:rsidR="003F7118" w:rsidRDefault="003F7118" w14:paraId="5DAC3FD8" w14:textId="10FA6D2E">
            <w:pPr/>
            <w:r w:rsidR="21B0E04E">
              <w:rPr/>
              <w:t>x</w:t>
            </w:r>
          </w:p>
        </w:tc>
        <w:tc>
          <w:tcPr>
            <w:tcW w:w="4143" w:type="dxa"/>
            <w:tcMar/>
          </w:tcPr>
          <w:p w:rsidRPr="003F7118" w:rsidR="003F7118" w:rsidP="00FE1B0D" w:rsidRDefault="003F7118" w14:paraId="341A39BB" w14:textId="556CE66C">
            <w:pPr>
              <w:rPr>
                <w:bCs/>
              </w:rPr>
            </w:pPr>
          </w:p>
        </w:tc>
        <w:tc>
          <w:tcPr>
            <w:tcW w:w="341" w:type="dxa"/>
            <w:tcMar/>
          </w:tcPr>
          <w:p w:rsidRPr="003F7118" w:rsidR="003F7118" w:rsidRDefault="003F7118" w14:paraId="6D2582DD" w14:textId="77777777">
            <w:pPr>
              <w:rPr>
                <w:bCs/>
              </w:rPr>
            </w:pPr>
          </w:p>
        </w:tc>
      </w:tr>
      <w:tr w:rsidRPr="003F7118" w:rsidR="00784DBC" w:rsidTr="4A262852" w14:paraId="38BE961C" w14:textId="77777777">
        <w:tc>
          <w:tcPr>
            <w:tcW w:w="4137" w:type="dxa"/>
            <w:tcMar/>
          </w:tcPr>
          <w:p w:rsidRPr="003F7118" w:rsidR="00847CED" w:rsidRDefault="00F21E60" w14:paraId="53CBF386" w14:textId="535D9F31">
            <w:pPr>
              <w:rPr>
                <w:bCs/>
              </w:rPr>
            </w:pPr>
            <w:r w:rsidRPr="003F7118">
              <w:rPr>
                <w:bCs/>
              </w:rPr>
              <w:t>Local Context</w:t>
            </w:r>
          </w:p>
        </w:tc>
        <w:tc>
          <w:tcPr>
            <w:tcW w:w="395" w:type="dxa"/>
            <w:tcMar/>
          </w:tcPr>
          <w:p w:rsidRPr="003F7118" w:rsidR="00847CED" w:rsidRDefault="00847CED" w14:paraId="524A3DFC" w14:textId="7D1ABD9C">
            <w:pPr/>
            <w:r w:rsidR="59537C0E">
              <w:rPr/>
              <w:t>x</w:t>
            </w:r>
          </w:p>
        </w:tc>
        <w:tc>
          <w:tcPr>
            <w:tcW w:w="4143" w:type="dxa"/>
            <w:tcMar/>
          </w:tcPr>
          <w:p w:rsidRPr="003F7118" w:rsidR="00847CED" w:rsidP="00DC1DFA" w:rsidRDefault="00847CED" w14:paraId="0538D261" w14:textId="4DD08DC8">
            <w:pPr>
              <w:rPr>
                <w:bCs/>
              </w:rPr>
            </w:pPr>
          </w:p>
        </w:tc>
        <w:tc>
          <w:tcPr>
            <w:tcW w:w="341" w:type="dxa"/>
            <w:tcMar/>
          </w:tcPr>
          <w:p w:rsidRPr="003F7118" w:rsidR="00847CED" w:rsidRDefault="00847CED" w14:paraId="6FEB80F1" w14:textId="77777777">
            <w:pPr>
              <w:rPr>
                <w:bCs/>
              </w:rPr>
            </w:pPr>
          </w:p>
        </w:tc>
      </w:tr>
      <w:tr w:rsidRPr="003F7118" w:rsidR="00784DBC" w:rsidTr="4A262852" w14:paraId="4D3063E4" w14:textId="77777777">
        <w:tc>
          <w:tcPr>
            <w:tcW w:w="4137" w:type="dxa"/>
            <w:tcMar/>
          </w:tcPr>
          <w:p w:rsidRPr="003F7118" w:rsidR="00847CED" w:rsidRDefault="003863AB" w14:paraId="0291940E" w14:textId="3FEBE7CC">
            <w:pPr>
              <w:rPr>
                <w:bCs/>
              </w:rPr>
            </w:pPr>
            <w:r w:rsidRPr="003F7118">
              <w:rPr>
                <w:bCs/>
              </w:rPr>
              <w:t>Reference qualifications and outcomes supported by the curriculum</w:t>
            </w:r>
          </w:p>
        </w:tc>
        <w:tc>
          <w:tcPr>
            <w:tcW w:w="395" w:type="dxa"/>
            <w:tcMar/>
          </w:tcPr>
          <w:p w:rsidRPr="003F7118" w:rsidR="00847CED" w:rsidRDefault="00847CED" w14:paraId="25E9956F" w14:textId="3FFADC17">
            <w:pPr/>
            <w:r w:rsidR="0AF7D1E4">
              <w:rPr/>
              <w:t>x</w:t>
            </w:r>
          </w:p>
        </w:tc>
        <w:tc>
          <w:tcPr>
            <w:tcW w:w="4143" w:type="dxa"/>
            <w:tcMar/>
          </w:tcPr>
          <w:p w:rsidRPr="003F7118" w:rsidR="00847CED" w:rsidRDefault="00847CED" w14:paraId="0D168D95" w14:textId="1A35E75A">
            <w:pPr>
              <w:rPr>
                <w:bCs/>
              </w:rPr>
            </w:pPr>
          </w:p>
        </w:tc>
        <w:tc>
          <w:tcPr>
            <w:tcW w:w="341" w:type="dxa"/>
            <w:tcMar/>
          </w:tcPr>
          <w:p w:rsidRPr="003F7118" w:rsidR="00847CED" w:rsidRDefault="00847CED" w14:paraId="354257D5" w14:textId="77777777">
            <w:pPr>
              <w:rPr>
                <w:bCs/>
              </w:rPr>
            </w:pPr>
          </w:p>
        </w:tc>
      </w:tr>
      <w:tr w:rsidRPr="003F7118" w:rsidR="00784DBC" w:rsidTr="4A262852" w14:paraId="5370F743" w14:textId="77777777">
        <w:tc>
          <w:tcPr>
            <w:tcW w:w="4137" w:type="dxa"/>
            <w:tcMar/>
          </w:tcPr>
          <w:p w:rsidRPr="003F7118" w:rsidR="00847CED" w:rsidP="008B35B0" w:rsidRDefault="00E65D9B" w14:paraId="5474EFAD" w14:textId="2209F9B0">
            <w:pPr>
              <w:rPr>
                <w:bCs/>
              </w:rPr>
            </w:pPr>
            <w:r w:rsidRPr="003F7118">
              <w:rPr>
                <w:bCs/>
              </w:rPr>
              <w:t xml:space="preserve">Curriculum </w:t>
            </w:r>
            <w:r w:rsidRPr="003F7118" w:rsidR="00784DBC">
              <w:rPr>
                <w:bCs/>
              </w:rPr>
              <w:t>Structure</w:t>
            </w:r>
          </w:p>
        </w:tc>
        <w:tc>
          <w:tcPr>
            <w:tcW w:w="395" w:type="dxa"/>
            <w:tcMar/>
          </w:tcPr>
          <w:p w:rsidRPr="003F7118" w:rsidR="00847CED" w:rsidRDefault="00847CED" w14:paraId="251BB57D" w14:textId="3C3EB397">
            <w:pPr/>
            <w:r w:rsidR="4FAB9987">
              <w:rPr/>
              <w:t>x</w:t>
            </w:r>
          </w:p>
        </w:tc>
        <w:tc>
          <w:tcPr>
            <w:tcW w:w="4143" w:type="dxa"/>
            <w:tcMar/>
          </w:tcPr>
          <w:p w:rsidRPr="003F7118" w:rsidR="00847CED" w:rsidRDefault="00847CED" w14:paraId="330E36A1" w14:textId="20F92DD5">
            <w:pPr>
              <w:rPr>
                <w:bCs/>
              </w:rPr>
            </w:pPr>
          </w:p>
        </w:tc>
        <w:tc>
          <w:tcPr>
            <w:tcW w:w="341" w:type="dxa"/>
            <w:tcMar/>
          </w:tcPr>
          <w:p w:rsidRPr="003F7118" w:rsidR="00847CED" w:rsidRDefault="00847CED" w14:paraId="43529D7F" w14:textId="77777777">
            <w:pPr>
              <w:rPr>
                <w:bCs/>
              </w:rPr>
            </w:pPr>
          </w:p>
        </w:tc>
      </w:tr>
      <w:tr w:rsidRPr="003F7118" w:rsidR="00784DBC" w:rsidTr="4A262852" w14:paraId="1AE3F31C" w14:textId="77777777">
        <w:tc>
          <w:tcPr>
            <w:tcW w:w="4137" w:type="dxa"/>
            <w:tcMar/>
          </w:tcPr>
          <w:p w:rsidRPr="003F7118" w:rsidR="00847CED" w:rsidRDefault="00784DBC" w14:paraId="2FCAB549" w14:textId="578D276C">
            <w:pPr>
              <w:rPr>
                <w:bCs/>
              </w:rPr>
            </w:pPr>
            <w:r w:rsidRPr="003F7118">
              <w:rPr>
                <w:bCs/>
              </w:rPr>
              <w:t>Progression and Adaptations</w:t>
            </w:r>
          </w:p>
        </w:tc>
        <w:tc>
          <w:tcPr>
            <w:tcW w:w="395" w:type="dxa"/>
            <w:tcMar/>
          </w:tcPr>
          <w:p w:rsidRPr="003F7118" w:rsidR="00847CED" w:rsidRDefault="00847CED" w14:paraId="0E99733C" w14:textId="76D5921A">
            <w:pPr/>
            <w:r w:rsidR="441B76D6">
              <w:rPr/>
              <w:t>x</w:t>
            </w:r>
          </w:p>
        </w:tc>
        <w:tc>
          <w:tcPr>
            <w:tcW w:w="4143" w:type="dxa"/>
            <w:tcMar/>
          </w:tcPr>
          <w:p w:rsidRPr="003F7118" w:rsidR="00847CED" w:rsidRDefault="00847CED" w14:paraId="2FE683BD" w14:textId="125FF875">
            <w:pPr>
              <w:rPr>
                <w:bCs/>
              </w:rPr>
            </w:pPr>
          </w:p>
        </w:tc>
        <w:tc>
          <w:tcPr>
            <w:tcW w:w="341" w:type="dxa"/>
            <w:tcMar/>
          </w:tcPr>
          <w:p w:rsidRPr="003F7118" w:rsidR="00847CED" w:rsidRDefault="00847CED" w14:paraId="3958B351" w14:textId="77777777">
            <w:pPr>
              <w:rPr>
                <w:bCs/>
              </w:rPr>
            </w:pPr>
          </w:p>
        </w:tc>
      </w:tr>
      <w:tr w:rsidRPr="003F7118" w:rsidR="00784DBC" w:rsidTr="4A262852" w14:paraId="1C53FE63" w14:textId="77777777">
        <w:tc>
          <w:tcPr>
            <w:tcW w:w="4137" w:type="dxa"/>
            <w:tcMar/>
          </w:tcPr>
          <w:p w:rsidRPr="003F7118" w:rsidR="00847CED" w:rsidRDefault="009116DB" w14:paraId="35F233FE" w14:textId="30302A25">
            <w:pPr>
              <w:rPr>
                <w:bCs/>
              </w:rPr>
            </w:pPr>
            <w:r w:rsidRPr="003F7118">
              <w:rPr>
                <w:bCs/>
              </w:rPr>
              <w:t xml:space="preserve">Assessment </w:t>
            </w:r>
            <w:r w:rsidR="00DC1DFA">
              <w:rPr>
                <w:bCs/>
              </w:rPr>
              <w:t xml:space="preserve"> and tracking</w:t>
            </w:r>
          </w:p>
        </w:tc>
        <w:tc>
          <w:tcPr>
            <w:tcW w:w="395" w:type="dxa"/>
            <w:tcMar/>
          </w:tcPr>
          <w:p w:rsidRPr="003F7118" w:rsidR="00847CED" w:rsidRDefault="00847CED" w14:paraId="27C1614E" w14:textId="00CEB8D3">
            <w:pPr/>
            <w:r w:rsidR="441B76D6">
              <w:rPr/>
              <w:t>x</w:t>
            </w:r>
          </w:p>
        </w:tc>
        <w:tc>
          <w:tcPr>
            <w:tcW w:w="4143" w:type="dxa"/>
            <w:tcMar/>
          </w:tcPr>
          <w:p w:rsidRPr="003F7118" w:rsidR="00847CED" w:rsidRDefault="00847CED" w14:paraId="40BEB27F" w14:textId="06CB5D33">
            <w:pPr>
              <w:rPr>
                <w:bCs/>
              </w:rPr>
            </w:pPr>
          </w:p>
        </w:tc>
        <w:tc>
          <w:tcPr>
            <w:tcW w:w="341" w:type="dxa"/>
            <w:tcMar/>
          </w:tcPr>
          <w:p w:rsidRPr="003F7118" w:rsidR="00847CED" w:rsidRDefault="00847CED" w14:paraId="6ED27EB6" w14:textId="77777777">
            <w:pPr>
              <w:rPr>
                <w:bCs/>
              </w:rPr>
            </w:pPr>
          </w:p>
        </w:tc>
      </w:tr>
      <w:tr w:rsidRPr="003F7118" w:rsidR="00784DBC" w:rsidTr="4A262852" w14:paraId="6E47CFB0" w14:textId="77777777">
        <w:tc>
          <w:tcPr>
            <w:tcW w:w="4137" w:type="dxa"/>
            <w:tcMar/>
          </w:tcPr>
          <w:p w:rsidRPr="003F7118" w:rsidR="00847CED" w:rsidRDefault="00A372C0" w14:paraId="5D52CF97" w14:textId="691417C6">
            <w:pPr>
              <w:rPr>
                <w:bCs/>
              </w:rPr>
            </w:pPr>
            <w:r w:rsidRPr="003F7118">
              <w:rPr>
                <w:bCs/>
              </w:rPr>
              <w:t>Stakeholder Engagement</w:t>
            </w:r>
          </w:p>
        </w:tc>
        <w:tc>
          <w:tcPr>
            <w:tcW w:w="395" w:type="dxa"/>
            <w:tcMar/>
          </w:tcPr>
          <w:p w:rsidRPr="003F7118" w:rsidR="00847CED" w:rsidRDefault="00847CED" w14:paraId="4CF2B377" w14:textId="0BF59F93">
            <w:pPr/>
            <w:r w:rsidR="0A9FFA3D">
              <w:rPr/>
              <w:t>x</w:t>
            </w:r>
          </w:p>
        </w:tc>
        <w:tc>
          <w:tcPr>
            <w:tcW w:w="4143" w:type="dxa"/>
            <w:tcMar/>
          </w:tcPr>
          <w:p w:rsidRPr="003F7118" w:rsidR="00847CED" w:rsidRDefault="00847CED" w14:paraId="15DBAD61" w14:textId="42C325F3">
            <w:pPr>
              <w:rPr>
                <w:bCs/>
              </w:rPr>
            </w:pPr>
          </w:p>
        </w:tc>
        <w:tc>
          <w:tcPr>
            <w:tcW w:w="341" w:type="dxa"/>
            <w:tcMar/>
          </w:tcPr>
          <w:p w:rsidRPr="003F7118" w:rsidR="00847CED" w:rsidRDefault="00847CED" w14:paraId="27973137" w14:textId="77777777">
            <w:pPr>
              <w:rPr>
                <w:bCs/>
              </w:rPr>
            </w:pPr>
          </w:p>
        </w:tc>
      </w:tr>
      <w:tr w:rsidRPr="003F7118" w:rsidR="003F7118" w:rsidTr="4A262852" w14:paraId="5625D62C" w14:textId="77777777">
        <w:tc>
          <w:tcPr>
            <w:tcW w:w="4137" w:type="dxa"/>
            <w:tcMar/>
          </w:tcPr>
          <w:p w:rsidRPr="003F7118" w:rsidR="003F7118" w:rsidP="003F7118" w:rsidRDefault="003F7118" w14:paraId="324A07DA" w14:textId="3538B530">
            <w:pPr>
              <w:rPr>
                <w:bCs/>
              </w:rPr>
            </w:pPr>
            <w:r w:rsidRPr="003F7118">
              <w:rPr>
                <w:bCs/>
              </w:rPr>
              <w:t>Reference qualifications and outcomes supported by the curriculum</w:t>
            </w:r>
          </w:p>
        </w:tc>
        <w:tc>
          <w:tcPr>
            <w:tcW w:w="395" w:type="dxa"/>
            <w:tcMar/>
          </w:tcPr>
          <w:p w:rsidRPr="003F7118" w:rsidR="003F7118" w:rsidP="003F7118" w:rsidRDefault="003F7118" w14:paraId="5D1C0518" w14:textId="33FA7DA7">
            <w:pPr/>
            <w:r w:rsidR="6218643F">
              <w:rPr/>
              <w:t>x</w:t>
            </w:r>
          </w:p>
        </w:tc>
        <w:tc>
          <w:tcPr>
            <w:tcW w:w="4143" w:type="dxa"/>
            <w:tcMar/>
          </w:tcPr>
          <w:p w:rsidRPr="003F7118" w:rsidR="003F7118" w:rsidP="003F7118" w:rsidRDefault="003F7118" w14:paraId="16FC4DD3" w14:textId="5393AC80">
            <w:pPr>
              <w:rPr>
                <w:bCs/>
              </w:rPr>
            </w:pPr>
          </w:p>
        </w:tc>
        <w:tc>
          <w:tcPr>
            <w:tcW w:w="341" w:type="dxa"/>
            <w:tcMar/>
          </w:tcPr>
          <w:p w:rsidRPr="003F7118" w:rsidR="003F7118" w:rsidP="003F7118" w:rsidRDefault="003F7118" w14:paraId="684264E7" w14:textId="77777777">
            <w:pPr>
              <w:rPr>
                <w:bCs/>
              </w:rPr>
            </w:pPr>
          </w:p>
        </w:tc>
      </w:tr>
      <w:tr w:rsidRPr="003F7118" w:rsidR="003F7118" w:rsidTr="4A262852" w14:paraId="2D7C03B2" w14:textId="77777777">
        <w:tc>
          <w:tcPr>
            <w:tcW w:w="4137" w:type="dxa"/>
            <w:tcMar/>
          </w:tcPr>
          <w:p w:rsidRPr="003F7118" w:rsidR="003F7118" w:rsidP="003F7118" w:rsidRDefault="006004AA" w14:paraId="54CC6C2E" w14:textId="6FD8A673">
            <w:pPr>
              <w:rPr>
                <w:bCs/>
              </w:rPr>
            </w:pPr>
            <w:r>
              <w:rPr>
                <w:bCs/>
              </w:rPr>
              <w:t>Personal development</w:t>
            </w:r>
          </w:p>
        </w:tc>
        <w:tc>
          <w:tcPr>
            <w:tcW w:w="395" w:type="dxa"/>
            <w:tcMar/>
          </w:tcPr>
          <w:p w:rsidRPr="003F7118" w:rsidR="003F7118" w:rsidP="003F7118" w:rsidRDefault="003F7118" w14:paraId="415F0A83" w14:textId="76BC5F43">
            <w:pPr/>
            <w:r w:rsidR="7F2F9A14">
              <w:rPr/>
              <w:t>x</w:t>
            </w:r>
          </w:p>
        </w:tc>
        <w:tc>
          <w:tcPr>
            <w:tcW w:w="4143" w:type="dxa"/>
            <w:tcMar/>
          </w:tcPr>
          <w:p w:rsidRPr="003F7118" w:rsidR="003F7118" w:rsidP="003F7118" w:rsidRDefault="006004AA" w14:paraId="76230958" w14:textId="0559E1C8">
            <w:pPr>
              <w:rPr>
                <w:bCs/>
              </w:rPr>
            </w:pPr>
            <w:r>
              <w:rPr>
                <w:bCs/>
              </w:rPr>
              <w:t>Referenc</w:t>
            </w:r>
            <w:r w:rsidRPr="006004AA">
              <w:rPr>
                <w:bCs/>
              </w:rPr>
              <w:t xml:space="preserve">e how </w:t>
            </w:r>
            <w:r w:rsidRPr="0021316B">
              <w:t>PSHE, RSE, SMSC, British/Scottish values, wellbeing, and safeguarding</w:t>
            </w:r>
            <w:r w:rsidRPr="006004AA">
              <w:t xml:space="preserve"> are embedded</w:t>
            </w:r>
          </w:p>
        </w:tc>
        <w:tc>
          <w:tcPr>
            <w:tcW w:w="341" w:type="dxa"/>
            <w:tcMar/>
          </w:tcPr>
          <w:p w:rsidRPr="003F7118" w:rsidR="003F7118" w:rsidP="003F7118" w:rsidRDefault="003F7118" w14:paraId="392A794B" w14:textId="57043242">
            <w:pPr/>
            <w:r w:rsidR="610415C0">
              <w:rPr/>
              <w:t>x</w:t>
            </w:r>
          </w:p>
        </w:tc>
      </w:tr>
      <w:tr w:rsidRPr="003F7118" w:rsidR="003F7118" w:rsidTr="4A262852" w14:paraId="0F5ED5B1" w14:textId="77777777">
        <w:tc>
          <w:tcPr>
            <w:tcW w:w="4137" w:type="dxa"/>
            <w:tcMar/>
          </w:tcPr>
          <w:p w:rsidRPr="003F7118" w:rsidR="003F7118" w:rsidP="003F7118" w:rsidRDefault="003F7118" w14:paraId="54E636A4" w14:textId="4438923C">
            <w:pPr>
              <w:rPr>
                <w:bCs/>
              </w:rPr>
            </w:pPr>
            <w:r w:rsidRPr="003F7118">
              <w:rPr>
                <w:bCs/>
              </w:rPr>
              <w:t>Opportunities for work related learning, independent CIAG and reference to the Gatsby Benchmark</w:t>
            </w:r>
          </w:p>
        </w:tc>
        <w:tc>
          <w:tcPr>
            <w:tcW w:w="395" w:type="dxa"/>
            <w:tcMar/>
          </w:tcPr>
          <w:p w:rsidRPr="003F7118" w:rsidR="003F7118" w:rsidP="003F7118" w:rsidRDefault="003F7118" w14:paraId="1ECB0EB7" w14:textId="0B8FD232">
            <w:pPr/>
            <w:r w:rsidR="24AE2F2F">
              <w:rPr/>
              <w:t>x</w:t>
            </w:r>
          </w:p>
        </w:tc>
        <w:tc>
          <w:tcPr>
            <w:tcW w:w="4143" w:type="dxa"/>
            <w:tcMar/>
          </w:tcPr>
          <w:p w:rsidRPr="003F7118" w:rsidR="003F7118" w:rsidP="003F7118" w:rsidRDefault="003F7118" w14:paraId="6F0053DA" w14:textId="2F455601">
            <w:pPr>
              <w:rPr>
                <w:bCs/>
              </w:rPr>
            </w:pPr>
          </w:p>
        </w:tc>
        <w:tc>
          <w:tcPr>
            <w:tcW w:w="341" w:type="dxa"/>
            <w:tcMar/>
          </w:tcPr>
          <w:p w:rsidRPr="003F7118" w:rsidR="003F7118" w:rsidP="003F7118" w:rsidRDefault="003F7118" w14:paraId="7A9DB612" w14:textId="77777777">
            <w:pPr>
              <w:rPr>
                <w:bCs/>
              </w:rPr>
            </w:pPr>
          </w:p>
        </w:tc>
      </w:tr>
      <w:tr w:rsidRPr="003F7118" w:rsidR="003F7118" w:rsidTr="4A262852" w14:paraId="1F71FE3D" w14:textId="77777777">
        <w:tc>
          <w:tcPr>
            <w:tcW w:w="4137" w:type="dxa"/>
            <w:tcMar/>
          </w:tcPr>
          <w:p w:rsidRPr="003F7118" w:rsidR="003F7118" w:rsidRDefault="003F7118" w14:paraId="1758C864" w14:textId="42E0E3EA">
            <w:pPr>
              <w:rPr>
                <w:bCs/>
              </w:rPr>
            </w:pPr>
            <w:r w:rsidRPr="003F7118">
              <w:rPr>
                <w:bCs/>
              </w:rPr>
              <w:t>The role of subject coordinators if this is applicable and how the curriculum is monitored</w:t>
            </w:r>
          </w:p>
        </w:tc>
        <w:tc>
          <w:tcPr>
            <w:tcW w:w="395" w:type="dxa"/>
            <w:tcMar/>
          </w:tcPr>
          <w:p w:rsidRPr="003F7118" w:rsidR="003F7118" w:rsidRDefault="003F7118" w14:paraId="440C6DD5" w14:textId="5507D1D7">
            <w:pPr/>
            <w:r w:rsidR="0F483774">
              <w:rPr/>
              <w:t>x</w:t>
            </w:r>
          </w:p>
        </w:tc>
        <w:tc>
          <w:tcPr>
            <w:tcW w:w="4143" w:type="dxa"/>
            <w:tcMar/>
          </w:tcPr>
          <w:p w:rsidRPr="003F7118" w:rsidR="003F7118" w:rsidRDefault="003F7118" w14:paraId="2BDE657D" w14:textId="12012DDF">
            <w:pPr>
              <w:rPr>
                <w:bCs/>
              </w:rPr>
            </w:pPr>
          </w:p>
        </w:tc>
        <w:tc>
          <w:tcPr>
            <w:tcW w:w="341" w:type="dxa"/>
            <w:tcMar/>
          </w:tcPr>
          <w:p w:rsidRPr="003F7118" w:rsidR="003F7118" w:rsidRDefault="003F7118" w14:paraId="0DE82F79" w14:textId="77777777">
            <w:pPr>
              <w:rPr>
                <w:bCs/>
              </w:rPr>
            </w:pPr>
          </w:p>
        </w:tc>
      </w:tr>
      <w:tr w:rsidRPr="003F7118" w:rsidR="003F7118" w:rsidTr="4A262852" w14:paraId="4989DF1E" w14:textId="77777777">
        <w:tc>
          <w:tcPr>
            <w:tcW w:w="4137" w:type="dxa"/>
            <w:tcMar/>
          </w:tcPr>
          <w:p w:rsidRPr="003F7118" w:rsidR="003F7118" w:rsidRDefault="003F7118" w14:paraId="1849C876" w14:textId="5A5CE027">
            <w:pPr>
              <w:rPr>
                <w:bCs/>
              </w:rPr>
            </w:pPr>
            <w:r w:rsidRPr="003F7118">
              <w:rPr>
                <w:bCs/>
              </w:rPr>
              <w:t>Wellbeing and safeguarding</w:t>
            </w:r>
          </w:p>
        </w:tc>
        <w:tc>
          <w:tcPr>
            <w:tcW w:w="395" w:type="dxa"/>
            <w:tcMar/>
          </w:tcPr>
          <w:p w:rsidRPr="003F7118" w:rsidR="003F7118" w:rsidRDefault="003F7118" w14:paraId="619C0A44" w14:textId="7756CBB1">
            <w:pPr/>
            <w:r w:rsidR="79C510D8">
              <w:rPr/>
              <w:t>x</w:t>
            </w:r>
          </w:p>
        </w:tc>
        <w:tc>
          <w:tcPr>
            <w:tcW w:w="4143" w:type="dxa"/>
            <w:tcMar/>
          </w:tcPr>
          <w:p w:rsidRPr="003F7118" w:rsidR="003F7118" w:rsidRDefault="003F7118" w14:paraId="3A42C3C5" w14:textId="52497EC1">
            <w:pPr>
              <w:rPr>
                <w:bCs/>
              </w:rPr>
            </w:pPr>
          </w:p>
        </w:tc>
        <w:tc>
          <w:tcPr>
            <w:tcW w:w="341" w:type="dxa"/>
            <w:tcMar/>
          </w:tcPr>
          <w:p w:rsidRPr="003F7118" w:rsidR="003F7118" w:rsidRDefault="003F7118" w14:paraId="2E5D3A14" w14:textId="77777777">
            <w:pPr>
              <w:rPr>
                <w:bCs/>
              </w:rPr>
            </w:pPr>
          </w:p>
        </w:tc>
      </w:tr>
      <w:tr w:rsidRPr="003F7118" w:rsidR="00784DBC" w:rsidTr="4A262852" w14:paraId="5A0B4FE0" w14:textId="77777777">
        <w:tc>
          <w:tcPr>
            <w:tcW w:w="4137" w:type="dxa"/>
            <w:tcMar/>
          </w:tcPr>
          <w:p w:rsidRPr="003F7118" w:rsidR="008B35B0" w:rsidRDefault="008B35B0" w14:paraId="53F7826E" w14:textId="4C23C9B4">
            <w:pPr>
              <w:rPr>
                <w:bCs/>
              </w:rPr>
            </w:pPr>
            <w:r w:rsidRPr="003F7118">
              <w:rPr>
                <w:bCs/>
              </w:rPr>
              <w:t>Reference to the process of how the curriculum is and will be reviewed</w:t>
            </w:r>
          </w:p>
        </w:tc>
        <w:tc>
          <w:tcPr>
            <w:tcW w:w="395" w:type="dxa"/>
            <w:tcMar/>
          </w:tcPr>
          <w:p w:rsidRPr="003F7118" w:rsidR="008B35B0" w:rsidRDefault="008B35B0" w14:paraId="59539A97" w14:textId="1FE53D20">
            <w:pPr/>
            <w:r w:rsidR="635A780C">
              <w:rPr/>
              <w:t>x</w:t>
            </w:r>
          </w:p>
        </w:tc>
        <w:tc>
          <w:tcPr>
            <w:tcW w:w="4143" w:type="dxa"/>
            <w:tcMar/>
          </w:tcPr>
          <w:p w:rsidRPr="003F7118" w:rsidR="008B35B0" w:rsidRDefault="008B35B0" w14:paraId="775E6A85" w14:textId="68909B89">
            <w:pPr>
              <w:rPr>
                <w:bCs/>
              </w:rPr>
            </w:pPr>
          </w:p>
        </w:tc>
        <w:tc>
          <w:tcPr>
            <w:tcW w:w="341" w:type="dxa"/>
            <w:tcMar/>
          </w:tcPr>
          <w:p w:rsidRPr="003F7118" w:rsidR="008B35B0" w:rsidRDefault="008B35B0" w14:paraId="7C295E15" w14:textId="77777777">
            <w:pPr>
              <w:rPr>
                <w:bCs/>
              </w:rPr>
            </w:pPr>
          </w:p>
        </w:tc>
      </w:tr>
      <w:tr w:rsidRPr="003F7118" w:rsidR="00F0085D" w:rsidTr="4A262852" w14:paraId="0D1602DF" w14:textId="77777777">
        <w:tc>
          <w:tcPr>
            <w:tcW w:w="4137" w:type="dxa"/>
            <w:tcMar/>
          </w:tcPr>
          <w:p w:rsidRPr="003F7118" w:rsidR="00F0085D" w:rsidP="00232096" w:rsidRDefault="00F0085D" w14:paraId="3391E534" w14:textId="6C7868F0">
            <w:pPr>
              <w:rPr>
                <w:bCs/>
              </w:rPr>
            </w:pPr>
            <w:r w:rsidRPr="003F7118">
              <w:rPr>
                <w:bCs/>
              </w:rPr>
              <w:t>Post-16 as a separate section if this is applicable</w:t>
            </w:r>
          </w:p>
        </w:tc>
        <w:tc>
          <w:tcPr>
            <w:tcW w:w="395" w:type="dxa"/>
            <w:tcMar/>
          </w:tcPr>
          <w:p w:rsidRPr="003F7118" w:rsidR="00F0085D" w:rsidRDefault="00F0085D" w14:paraId="7F12B92E" w14:textId="3714CEFB">
            <w:pPr/>
            <w:r w:rsidR="1C993BEC">
              <w:rPr/>
              <w:t>x</w:t>
            </w:r>
          </w:p>
        </w:tc>
        <w:tc>
          <w:tcPr>
            <w:tcW w:w="4143" w:type="dxa"/>
            <w:tcMar/>
          </w:tcPr>
          <w:p w:rsidRPr="003F7118" w:rsidR="00F0085D" w:rsidP="00C04203" w:rsidRDefault="00F0085D" w14:paraId="0C5709E2" w14:textId="0EABC66B">
            <w:pPr>
              <w:rPr>
                <w:bCs/>
              </w:rPr>
            </w:pPr>
          </w:p>
        </w:tc>
        <w:tc>
          <w:tcPr>
            <w:tcW w:w="341" w:type="dxa"/>
            <w:tcMar/>
          </w:tcPr>
          <w:p w:rsidRPr="003F7118" w:rsidR="00F0085D" w:rsidRDefault="00F0085D" w14:paraId="0222D36F" w14:textId="77777777">
            <w:pPr>
              <w:rPr>
                <w:bCs/>
              </w:rPr>
            </w:pPr>
          </w:p>
        </w:tc>
      </w:tr>
      <w:tr w:rsidRPr="003F7118" w:rsidR="003F7118" w:rsidTr="4A262852" w14:paraId="00CFFF39" w14:textId="77777777">
        <w:tc>
          <w:tcPr>
            <w:tcW w:w="4137" w:type="dxa"/>
            <w:tcMar/>
          </w:tcPr>
          <w:p w:rsidRPr="003F7118" w:rsidR="003F7118" w:rsidP="003F7118" w:rsidRDefault="003F7118" w14:paraId="78354549" w14:textId="4CB2EB7B">
            <w:pPr>
              <w:rPr>
                <w:bCs/>
              </w:rPr>
            </w:pPr>
            <w:r w:rsidRPr="003F7118">
              <w:rPr>
                <w:bCs/>
              </w:rPr>
              <w:t>Qualifications and accreditation</w:t>
            </w:r>
          </w:p>
        </w:tc>
        <w:tc>
          <w:tcPr>
            <w:tcW w:w="395" w:type="dxa"/>
            <w:tcMar/>
          </w:tcPr>
          <w:p w:rsidRPr="003F7118" w:rsidR="003F7118" w:rsidP="003F7118" w:rsidRDefault="003F7118" w14:paraId="2EAFF702" w14:textId="0E0D8636">
            <w:pPr/>
            <w:r w:rsidR="62BA9520">
              <w:rPr/>
              <w:t>x</w:t>
            </w:r>
          </w:p>
        </w:tc>
        <w:tc>
          <w:tcPr>
            <w:tcW w:w="4143" w:type="dxa"/>
            <w:tcMar/>
          </w:tcPr>
          <w:p w:rsidRPr="003F7118" w:rsidR="003F7118" w:rsidP="003F7118" w:rsidRDefault="003F7118" w14:paraId="2FA3DA60" w14:textId="6EE79CB5">
            <w:pPr>
              <w:pStyle w:val="NormalWeb"/>
              <w:ind w:left="360"/>
              <w:rPr>
                <w:rFonts w:ascii="Tahoma" w:hAnsi="Tahoma" w:cs="Tahoma"/>
                <w:bCs/>
                <w:sz w:val="20"/>
                <w:szCs w:val="20"/>
              </w:rPr>
            </w:pPr>
          </w:p>
        </w:tc>
        <w:tc>
          <w:tcPr>
            <w:tcW w:w="341" w:type="dxa"/>
            <w:tcMar/>
          </w:tcPr>
          <w:p w:rsidRPr="003F7118" w:rsidR="003F7118" w:rsidP="003F7118" w:rsidRDefault="003F7118" w14:paraId="3BFD55C3" w14:textId="77777777">
            <w:pPr>
              <w:rPr>
                <w:bCs/>
              </w:rPr>
            </w:pPr>
          </w:p>
        </w:tc>
      </w:tr>
      <w:tr w:rsidRPr="003F7118" w:rsidR="003F7118" w:rsidTr="4A262852" w14:paraId="49A67838" w14:textId="77777777">
        <w:tc>
          <w:tcPr>
            <w:tcW w:w="4137" w:type="dxa"/>
            <w:tcMar/>
          </w:tcPr>
          <w:p w:rsidRPr="003F7118" w:rsidR="003F7118" w:rsidP="003F7118" w:rsidRDefault="003F7118" w14:paraId="3C43A664" w14:textId="7C2E8538">
            <w:pPr>
              <w:rPr>
                <w:bCs/>
              </w:rPr>
            </w:pPr>
            <w:r w:rsidRPr="003F7118">
              <w:rPr>
                <w:bCs/>
              </w:rPr>
              <w:t>Implementation and Responsibilities</w:t>
            </w:r>
          </w:p>
        </w:tc>
        <w:tc>
          <w:tcPr>
            <w:tcW w:w="395" w:type="dxa"/>
            <w:tcMar/>
          </w:tcPr>
          <w:p w:rsidRPr="003F7118" w:rsidR="003F7118" w:rsidP="003F7118" w:rsidRDefault="003F7118" w14:paraId="0A531E2D" w14:textId="34346509">
            <w:pPr/>
            <w:r w:rsidR="40040972">
              <w:rPr/>
              <w:t>x</w:t>
            </w:r>
          </w:p>
        </w:tc>
        <w:tc>
          <w:tcPr>
            <w:tcW w:w="4143" w:type="dxa"/>
            <w:tcMar/>
          </w:tcPr>
          <w:p w:rsidRPr="003F7118" w:rsidR="003F7118" w:rsidP="003F7118" w:rsidRDefault="003F7118" w14:paraId="31B961A4" w14:textId="4673C18B">
            <w:pPr>
              <w:pStyle w:val="NormalWeb"/>
              <w:ind w:left="360"/>
              <w:rPr>
                <w:bCs/>
              </w:rPr>
            </w:pPr>
          </w:p>
        </w:tc>
        <w:tc>
          <w:tcPr>
            <w:tcW w:w="341" w:type="dxa"/>
            <w:tcMar/>
          </w:tcPr>
          <w:p w:rsidRPr="003F7118" w:rsidR="003F7118" w:rsidP="003F7118" w:rsidRDefault="003F7118" w14:paraId="2FE39A62" w14:textId="77777777">
            <w:pPr>
              <w:rPr>
                <w:bCs/>
              </w:rPr>
            </w:pPr>
          </w:p>
        </w:tc>
      </w:tr>
      <w:tr w:rsidRPr="003F7118" w:rsidR="003F7118" w:rsidTr="4A262852" w14:paraId="5BF3F614" w14:textId="77777777">
        <w:tc>
          <w:tcPr>
            <w:tcW w:w="4137" w:type="dxa"/>
            <w:tcMar/>
          </w:tcPr>
          <w:p w:rsidRPr="003F7118" w:rsidR="003F7118" w:rsidP="003F7118" w:rsidRDefault="003F7118" w14:paraId="1C8C84A0" w14:textId="48A21415">
            <w:pPr>
              <w:rPr>
                <w:bCs/>
              </w:rPr>
            </w:pPr>
            <w:r w:rsidRPr="003F7118">
              <w:rPr>
                <w:bCs/>
              </w:rPr>
              <w:t>Review and Evaluation</w:t>
            </w:r>
          </w:p>
        </w:tc>
        <w:tc>
          <w:tcPr>
            <w:tcW w:w="395" w:type="dxa"/>
            <w:tcMar/>
          </w:tcPr>
          <w:p w:rsidRPr="003F7118" w:rsidR="003F7118" w:rsidP="003F7118" w:rsidRDefault="003F7118" w14:paraId="55C8AE56" w14:textId="612D5E5E">
            <w:pPr/>
            <w:r w:rsidR="56ABEB52">
              <w:rPr/>
              <w:t>x</w:t>
            </w:r>
          </w:p>
        </w:tc>
        <w:tc>
          <w:tcPr>
            <w:tcW w:w="4143" w:type="dxa"/>
            <w:tcMar/>
          </w:tcPr>
          <w:p w:rsidRPr="003F7118" w:rsidR="003F7118" w:rsidP="003F7118" w:rsidRDefault="003F7118" w14:paraId="0ED50CA3" w14:textId="61D4B9A6">
            <w:pPr>
              <w:pStyle w:val="NormalWeb"/>
              <w:ind w:left="360"/>
              <w:rPr>
                <w:rFonts w:ascii="Tahoma" w:hAnsi="Tahoma" w:cs="Tahoma"/>
                <w:bCs/>
                <w:sz w:val="20"/>
                <w:szCs w:val="20"/>
              </w:rPr>
            </w:pPr>
          </w:p>
        </w:tc>
        <w:tc>
          <w:tcPr>
            <w:tcW w:w="341" w:type="dxa"/>
            <w:tcMar/>
          </w:tcPr>
          <w:p w:rsidRPr="003F7118" w:rsidR="003F7118" w:rsidP="003F7118" w:rsidRDefault="003F7118" w14:paraId="1E527234" w14:textId="77777777">
            <w:pPr>
              <w:rPr>
                <w:bCs/>
              </w:rPr>
            </w:pPr>
          </w:p>
        </w:tc>
      </w:tr>
    </w:tbl>
    <w:p w:rsidR="003F7118" w:rsidRDefault="003F7118" w14:paraId="3E310636" w14:textId="77777777">
      <w:pPr>
        <w:rPr>
          <w:b/>
        </w:rPr>
      </w:pPr>
    </w:p>
    <w:p w:rsidRPr="00FE1B0D" w:rsidR="00D36B5A" w:rsidRDefault="00FE1B0D" w14:paraId="0892739B" w14:textId="322E8855">
      <w:pPr>
        <w:rPr>
          <w:b/>
        </w:rPr>
      </w:pPr>
      <w:r w:rsidRPr="00FE1B0D">
        <w:rPr>
          <w:b/>
        </w:rPr>
        <w:t xml:space="preserve">Local Procedure </w:t>
      </w:r>
      <w:r w:rsidRPr="00FE1B0D" w:rsidR="00ED27F4">
        <w:rPr>
          <w:b/>
        </w:rPr>
        <w:t>Review History</w:t>
      </w:r>
      <w:r w:rsidRPr="00FE1B0D">
        <w:rPr>
          <w:b/>
        </w:rPr>
        <w:t>:</w:t>
      </w:r>
    </w:p>
    <w:tbl>
      <w:tblPr>
        <w:tblStyle w:val="TableGrid"/>
        <w:tblW w:w="0" w:type="auto"/>
        <w:tblLook w:val="04A0" w:firstRow="1" w:lastRow="0" w:firstColumn="1" w:lastColumn="0" w:noHBand="0" w:noVBand="1"/>
      </w:tblPr>
      <w:tblGrid>
        <w:gridCol w:w="3005"/>
        <w:gridCol w:w="3005"/>
        <w:gridCol w:w="3006"/>
      </w:tblGrid>
      <w:tr w:rsidR="00FE1B0D" w:rsidTr="00FE1B0D" w14:paraId="112A3AD4" w14:textId="77777777">
        <w:tc>
          <w:tcPr>
            <w:tcW w:w="3080" w:type="dxa"/>
            <w:shd w:val="clear" w:color="auto" w:fill="C6D9F1" w:themeFill="text2" w:themeFillTint="33"/>
          </w:tcPr>
          <w:p w:rsidRPr="00FE1B0D" w:rsidR="00FE1B0D" w:rsidRDefault="00FE1B0D" w14:paraId="7569A8B8" w14:textId="77777777">
            <w:pPr>
              <w:rPr>
                <w:b/>
              </w:rPr>
            </w:pPr>
            <w:r w:rsidRPr="00FE1B0D">
              <w:rPr>
                <w:b/>
              </w:rPr>
              <w:t>Date Reviewed</w:t>
            </w:r>
          </w:p>
        </w:tc>
        <w:tc>
          <w:tcPr>
            <w:tcW w:w="3081" w:type="dxa"/>
            <w:shd w:val="clear" w:color="auto" w:fill="C6D9F1" w:themeFill="text2" w:themeFillTint="33"/>
          </w:tcPr>
          <w:p w:rsidRPr="00FE1B0D" w:rsidR="00FE1B0D" w:rsidRDefault="00FE1B0D" w14:paraId="717A8983" w14:textId="77777777">
            <w:pPr>
              <w:rPr>
                <w:b/>
              </w:rPr>
            </w:pPr>
            <w:r w:rsidRPr="00FE1B0D">
              <w:rPr>
                <w:b/>
              </w:rPr>
              <w:t xml:space="preserve">Reviewer </w:t>
            </w:r>
          </w:p>
        </w:tc>
        <w:tc>
          <w:tcPr>
            <w:tcW w:w="3081" w:type="dxa"/>
            <w:shd w:val="clear" w:color="auto" w:fill="C6D9F1" w:themeFill="text2" w:themeFillTint="33"/>
          </w:tcPr>
          <w:p w:rsidRPr="00FE1B0D" w:rsidR="00FE1B0D" w:rsidRDefault="00FE1B0D" w14:paraId="04FA4B5F" w14:textId="77777777">
            <w:pPr>
              <w:rPr>
                <w:b/>
              </w:rPr>
            </w:pPr>
            <w:r w:rsidRPr="00FE1B0D">
              <w:rPr>
                <w:b/>
              </w:rPr>
              <w:t>Summary of revisions</w:t>
            </w:r>
          </w:p>
        </w:tc>
      </w:tr>
      <w:tr w:rsidR="00FE1B0D" w:rsidTr="00FE1B0D" w14:paraId="4A11628D" w14:textId="77777777">
        <w:tc>
          <w:tcPr>
            <w:tcW w:w="3080" w:type="dxa"/>
          </w:tcPr>
          <w:p w:rsidR="00FE1B0D" w:rsidRDefault="00FE1B0D" w14:paraId="1C1F9D27" w14:textId="77777777"/>
        </w:tc>
        <w:tc>
          <w:tcPr>
            <w:tcW w:w="3081" w:type="dxa"/>
          </w:tcPr>
          <w:p w:rsidR="00FE1B0D" w:rsidRDefault="00FE1B0D" w14:paraId="03DC953F" w14:textId="77777777"/>
        </w:tc>
        <w:tc>
          <w:tcPr>
            <w:tcW w:w="3081" w:type="dxa"/>
          </w:tcPr>
          <w:p w:rsidR="00FE1B0D" w:rsidRDefault="00FE1B0D" w14:paraId="40564E94" w14:textId="77777777"/>
        </w:tc>
      </w:tr>
      <w:tr w:rsidR="00FE1B0D" w:rsidTr="00FE1B0D" w14:paraId="53829D98" w14:textId="77777777">
        <w:tc>
          <w:tcPr>
            <w:tcW w:w="3080" w:type="dxa"/>
          </w:tcPr>
          <w:p w:rsidR="00FE1B0D" w:rsidRDefault="00FE1B0D" w14:paraId="17FE8C73" w14:textId="77777777"/>
        </w:tc>
        <w:tc>
          <w:tcPr>
            <w:tcW w:w="3081" w:type="dxa"/>
          </w:tcPr>
          <w:p w:rsidR="00FE1B0D" w:rsidRDefault="00FE1B0D" w14:paraId="1B5EC75C" w14:textId="77777777"/>
        </w:tc>
        <w:tc>
          <w:tcPr>
            <w:tcW w:w="3081" w:type="dxa"/>
          </w:tcPr>
          <w:p w:rsidR="00FE1B0D" w:rsidRDefault="00FE1B0D" w14:paraId="1E12D503" w14:textId="77777777"/>
        </w:tc>
      </w:tr>
      <w:tr w:rsidR="00FE1B0D" w:rsidTr="00FE1B0D" w14:paraId="41C7A990" w14:textId="77777777">
        <w:tc>
          <w:tcPr>
            <w:tcW w:w="3080" w:type="dxa"/>
          </w:tcPr>
          <w:p w:rsidR="00FE1B0D" w:rsidRDefault="00FE1B0D" w14:paraId="54E4B153" w14:textId="77777777"/>
        </w:tc>
        <w:tc>
          <w:tcPr>
            <w:tcW w:w="3081" w:type="dxa"/>
          </w:tcPr>
          <w:p w:rsidR="00FE1B0D" w:rsidRDefault="00FE1B0D" w14:paraId="6473A693" w14:textId="77777777"/>
        </w:tc>
        <w:tc>
          <w:tcPr>
            <w:tcW w:w="3081" w:type="dxa"/>
          </w:tcPr>
          <w:p w:rsidR="00FE1B0D" w:rsidRDefault="00FE1B0D" w14:paraId="43CA450C" w14:textId="77777777"/>
        </w:tc>
      </w:tr>
      <w:tr w:rsidR="00FE1B0D" w:rsidTr="00FE1B0D" w14:paraId="409D472D" w14:textId="77777777">
        <w:tc>
          <w:tcPr>
            <w:tcW w:w="3080" w:type="dxa"/>
          </w:tcPr>
          <w:p w:rsidR="00FE1B0D" w:rsidRDefault="00FE1B0D" w14:paraId="23C0C8BD" w14:textId="77777777"/>
        </w:tc>
        <w:tc>
          <w:tcPr>
            <w:tcW w:w="3081" w:type="dxa"/>
          </w:tcPr>
          <w:p w:rsidR="00FE1B0D" w:rsidRDefault="00FE1B0D" w14:paraId="35E1C2D1" w14:textId="77777777"/>
        </w:tc>
        <w:tc>
          <w:tcPr>
            <w:tcW w:w="3081" w:type="dxa"/>
          </w:tcPr>
          <w:p w:rsidR="00FE1B0D" w:rsidRDefault="00FE1B0D" w14:paraId="30FBA2B2" w14:textId="77777777"/>
        </w:tc>
      </w:tr>
      <w:tr w:rsidR="00FE1B0D" w:rsidTr="00FE1B0D" w14:paraId="5AEA842A" w14:textId="77777777">
        <w:tc>
          <w:tcPr>
            <w:tcW w:w="3080" w:type="dxa"/>
          </w:tcPr>
          <w:p w:rsidR="00FE1B0D" w:rsidRDefault="00FE1B0D" w14:paraId="6CC0723F" w14:textId="77777777"/>
        </w:tc>
        <w:tc>
          <w:tcPr>
            <w:tcW w:w="3081" w:type="dxa"/>
          </w:tcPr>
          <w:p w:rsidR="00FE1B0D" w:rsidRDefault="00FE1B0D" w14:paraId="2DEBC01E" w14:textId="77777777"/>
        </w:tc>
        <w:tc>
          <w:tcPr>
            <w:tcW w:w="3081" w:type="dxa"/>
          </w:tcPr>
          <w:p w:rsidR="00FE1B0D" w:rsidRDefault="00FE1B0D" w14:paraId="483601A9" w14:textId="77777777"/>
        </w:tc>
      </w:tr>
      <w:tr w:rsidR="00FE1B0D" w:rsidTr="00FE1B0D" w14:paraId="240928CC" w14:textId="77777777">
        <w:tc>
          <w:tcPr>
            <w:tcW w:w="3080" w:type="dxa"/>
          </w:tcPr>
          <w:p w:rsidR="00FE1B0D" w:rsidRDefault="00FE1B0D" w14:paraId="71DD1BF1" w14:textId="77777777"/>
        </w:tc>
        <w:tc>
          <w:tcPr>
            <w:tcW w:w="3081" w:type="dxa"/>
          </w:tcPr>
          <w:p w:rsidR="00FE1B0D" w:rsidRDefault="00FE1B0D" w14:paraId="4A85E0D7" w14:textId="77777777"/>
        </w:tc>
        <w:tc>
          <w:tcPr>
            <w:tcW w:w="3081" w:type="dxa"/>
          </w:tcPr>
          <w:p w:rsidR="00FE1B0D" w:rsidRDefault="00FE1B0D" w14:paraId="0D0F6E5A" w14:textId="77777777"/>
        </w:tc>
      </w:tr>
      <w:tr w:rsidR="00FE1B0D" w:rsidTr="00FE1B0D" w14:paraId="1DA59E89" w14:textId="77777777">
        <w:tc>
          <w:tcPr>
            <w:tcW w:w="3080" w:type="dxa"/>
          </w:tcPr>
          <w:p w:rsidR="00FE1B0D" w:rsidRDefault="00FE1B0D" w14:paraId="0E6ED322" w14:textId="77777777"/>
        </w:tc>
        <w:tc>
          <w:tcPr>
            <w:tcW w:w="3081" w:type="dxa"/>
          </w:tcPr>
          <w:p w:rsidR="00FE1B0D" w:rsidRDefault="00FE1B0D" w14:paraId="4CA67B98" w14:textId="77777777"/>
        </w:tc>
        <w:tc>
          <w:tcPr>
            <w:tcW w:w="3081" w:type="dxa"/>
          </w:tcPr>
          <w:p w:rsidR="00FE1B0D" w:rsidRDefault="00FE1B0D" w14:paraId="29E0518F" w14:textId="77777777"/>
        </w:tc>
      </w:tr>
    </w:tbl>
    <w:p w:rsidRPr="00FE1B0D" w:rsidR="00FE1B0D" w:rsidRDefault="00FE1B0D" w14:paraId="75BFC176" w14:textId="77777777"/>
    <w:sectPr w:rsidRPr="00FE1B0D" w:rsidR="00FE1B0D" w:rsidSect="00215584">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742C" w:rsidP="00714039" w:rsidRDefault="00CF742C" w14:paraId="48C53F58" w14:textId="77777777">
      <w:pPr>
        <w:spacing w:after="0" w:line="240" w:lineRule="auto"/>
      </w:pPr>
      <w:r>
        <w:separator/>
      </w:r>
    </w:p>
  </w:endnote>
  <w:endnote w:type="continuationSeparator" w:id="0">
    <w:p w:rsidR="00CF742C" w:rsidP="00714039" w:rsidRDefault="00CF742C" w14:paraId="16FEF45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0F0F" w:rsidR="0021017D" w:rsidP="0021017D" w:rsidRDefault="0021017D" w14:paraId="1522B9D1" w14:textId="66C36A46">
    <w:pPr>
      <w:pStyle w:val="Footer"/>
      <w:tabs>
        <w:tab w:val="center" w:pos="4680"/>
        <w:tab w:val="right" w:pos="9360"/>
      </w:tabs>
      <w:rPr>
        <w:rFonts w:ascii="Tahoma" w:hAnsi="Tahoma" w:cs="Tahoma"/>
        <w:sz w:val="16"/>
        <w:szCs w:val="16"/>
      </w:rPr>
    </w:pPr>
    <w:r w:rsidRPr="004C0F0F">
      <w:rPr>
        <w:rFonts w:ascii="Tahoma" w:hAnsi="Tahoma" w:cs="Tahoma"/>
        <w:sz w:val="16"/>
        <w:szCs w:val="16"/>
      </w:rPr>
      <w:t xml:space="preserve">© </w:t>
    </w:r>
    <w:r w:rsidR="004251A8">
      <w:rPr>
        <w:rFonts w:ascii="Tahoma" w:hAnsi="Tahoma" w:cs="Tahoma"/>
        <w:sz w:val="16"/>
        <w:szCs w:val="16"/>
      </w:rPr>
      <w:t xml:space="preserve">Aspris </w:t>
    </w:r>
    <w:r w:rsidRPr="004C0F0F">
      <w:rPr>
        <w:rFonts w:ascii="Tahoma" w:hAnsi="Tahoma" w:cs="Tahoma"/>
        <w:sz w:val="16"/>
        <w:szCs w:val="16"/>
      </w:rPr>
      <w:t xml:space="preserve">– Confidential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4251A8">
      <w:rPr>
        <w:rFonts w:ascii="Tahoma" w:hAnsi="Tahoma" w:cs="Tahoma"/>
        <w:b/>
        <w:sz w:val="16"/>
        <w:szCs w:val="16"/>
      </w:rPr>
      <w:t>A</w:t>
    </w:r>
    <w:r w:rsidRPr="002A08D0">
      <w:rPr>
        <w:rFonts w:ascii="Tahoma" w:hAnsi="Tahoma" w:cs="Tahoma"/>
        <w:b/>
        <w:sz w:val="16"/>
        <w:szCs w:val="16"/>
      </w:rPr>
      <w:t xml:space="preserve">CS </w:t>
    </w:r>
    <w:r>
      <w:rPr>
        <w:rFonts w:ascii="Tahoma" w:hAnsi="Tahoma" w:cs="Tahoma"/>
        <w:b/>
        <w:sz w:val="16"/>
        <w:szCs w:val="16"/>
      </w:rPr>
      <w:t xml:space="preserve">Local Procedure: 31 </w:t>
    </w:r>
  </w:p>
  <w:p w:rsidRPr="00C20A5B" w:rsidR="0021017D" w:rsidP="0021017D" w:rsidRDefault="004251A8" w14:paraId="703F4D81" w14:textId="7F805285">
    <w:pPr>
      <w:pStyle w:val="Footer"/>
      <w:ind w:right="-186"/>
    </w:pPr>
    <w:r>
      <w:rPr>
        <w:rFonts w:ascii="Tahoma" w:hAnsi="Tahoma" w:cs="Tahoma"/>
        <w:sz w:val="16"/>
        <w:szCs w:val="16"/>
      </w:rPr>
      <w:t xml:space="preserve">Aspris </w:t>
    </w:r>
    <w:r w:rsidRPr="004C0F0F" w:rsidR="0021017D">
      <w:rPr>
        <w:rFonts w:ascii="Tahoma" w:hAnsi="Tahoma" w:cs="Tahoma"/>
        <w:sz w:val="16"/>
        <w:szCs w:val="16"/>
      </w:rPr>
      <w:t xml:space="preserve">Children’s Services – </w:t>
    </w:r>
    <w:r w:rsidRPr="000F6973" w:rsidR="0021017D">
      <w:rPr>
        <w:rFonts w:ascii="Tahoma" w:hAnsi="Tahoma" w:cs="Tahoma"/>
        <w:sz w:val="16"/>
        <w:szCs w:val="16"/>
      </w:rPr>
      <w:t>V0</w:t>
    </w:r>
    <w:r w:rsidR="003F7118">
      <w:rPr>
        <w:rFonts w:ascii="Tahoma" w:hAnsi="Tahoma" w:cs="Tahoma"/>
        <w:sz w:val="16"/>
        <w:szCs w:val="16"/>
      </w:rPr>
      <w:t>3</w:t>
    </w:r>
    <w:r w:rsidRPr="000F6973" w:rsidR="0021017D">
      <w:rPr>
        <w:rFonts w:ascii="Tahoma" w:hAnsi="Tahoma" w:cs="Tahoma"/>
        <w:sz w:val="16"/>
        <w:szCs w:val="16"/>
      </w:rPr>
      <w:t xml:space="preserve"> –</w:t>
    </w:r>
    <w:r w:rsidRPr="000F6973" w:rsidR="0021017D">
      <w:rPr>
        <w:rFonts w:ascii="Tahoma" w:hAnsi="Tahoma" w:cs="Tahoma"/>
        <w:sz w:val="16"/>
      </w:rPr>
      <w:t xml:space="preserve"> </w:t>
    </w:r>
    <w:r w:rsidR="0021316B">
      <w:rPr>
        <w:rFonts w:ascii="Tahoma" w:hAnsi="Tahoma" w:cs="Tahoma"/>
        <w:sz w:val="16"/>
      </w:rPr>
      <w:t>September</w:t>
    </w:r>
    <w:r w:rsidR="003F7118">
      <w:rPr>
        <w:rFonts w:ascii="Tahoma" w:hAnsi="Tahoma" w:cs="Tahoma"/>
        <w:sz w:val="16"/>
      </w:rPr>
      <w:t xml:space="preserve"> </w:t>
    </w:r>
    <w:r>
      <w:rPr>
        <w:rFonts w:ascii="Tahoma" w:hAnsi="Tahoma" w:cs="Tahoma"/>
        <w:sz w:val="16"/>
      </w:rPr>
      <w:t>2</w:t>
    </w:r>
    <w:r w:rsidR="00284399">
      <w:rPr>
        <w:rFonts w:ascii="Tahoma" w:hAnsi="Tahoma" w:cs="Tahoma"/>
        <w:sz w:val="16"/>
      </w:rPr>
      <w:t>02</w:t>
    </w:r>
    <w:r w:rsidR="003F7118">
      <w:rPr>
        <w:rFonts w:ascii="Tahoma" w:hAnsi="Tahoma" w:cs="Tahoma"/>
        <w:sz w:val="16"/>
      </w:rPr>
      <w:t>5</w:t>
    </w:r>
    <w:r w:rsidR="0021017D">
      <w:rPr>
        <w:rFonts w:ascii="Tahoma" w:hAnsi="Tahoma" w:cs="Tahoma"/>
        <w:sz w:val="16"/>
      </w:rPr>
      <w:tab/>
    </w:r>
    <w:r w:rsidR="0021017D">
      <w:rPr>
        <w:rFonts w:ascii="Tahoma" w:hAnsi="Tahoma" w:cs="Tahoma"/>
        <w:sz w:val="16"/>
      </w:rPr>
      <w:tab/>
    </w:r>
    <w:r w:rsidRPr="00C20A5B" w:rsidR="0021017D">
      <w:rPr>
        <w:rFonts w:ascii="Tahoma" w:hAnsi="Tahoma" w:cs="Tahoma"/>
        <w:sz w:val="16"/>
      </w:rPr>
      <w:t xml:space="preserve">Page </w:t>
    </w:r>
    <w:r w:rsidRPr="00C20A5B" w:rsidR="0021017D">
      <w:rPr>
        <w:rStyle w:val="PageNumber"/>
        <w:rFonts w:ascii="Tahoma" w:hAnsi="Tahoma" w:cs="Tahoma"/>
        <w:sz w:val="16"/>
      </w:rPr>
      <w:fldChar w:fldCharType="begin"/>
    </w:r>
    <w:r w:rsidRPr="00C20A5B" w:rsidR="0021017D">
      <w:rPr>
        <w:rStyle w:val="PageNumber"/>
        <w:rFonts w:ascii="Tahoma" w:hAnsi="Tahoma" w:cs="Tahoma"/>
        <w:sz w:val="16"/>
      </w:rPr>
      <w:instrText xml:space="preserve"> PAGE </w:instrText>
    </w:r>
    <w:r w:rsidRPr="00C20A5B" w:rsidR="0021017D">
      <w:rPr>
        <w:rStyle w:val="PageNumber"/>
        <w:rFonts w:ascii="Tahoma" w:hAnsi="Tahoma" w:cs="Tahoma"/>
        <w:sz w:val="16"/>
      </w:rPr>
      <w:fldChar w:fldCharType="separate"/>
    </w:r>
    <w:r w:rsidR="00D25173">
      <w:rPr>
        <w:rStyle w:val="PageNumber"/>
        <w:rFonts w:ascii="Tahoma" w:hAnsi="Tahoma" w:cs="Tahoma"/>
        <w:noProof/>
        <w:sz w:val="16"/>
      </w:rPr>
      <w:t>1</w:t>
    </w:r>
    <w:r w:rsidRPr="00C20A5B" w:rsidR="0021017D">
      <w:rPr>
        <w:rStyle w:val="PageNumber"/>
        <w:rFonts w:ascii="Tahoma" w:hAnsi="Tahoma" w:cs="Tahoma"/>
        <w:sz w:val="16"/>
      </w:rPr>
      <w:fldChar w:fldCharType="end"/>
    </w:r>
    <w:r w:rsidRPr="00C20A5B" w:rsidR="0021017D">
      <w:rPr>
        <w:rFonts w:ascii="Tahoma" w:hAnsi="Tahoma" w:cs="Tahoma"/>
        <w:sz w:val="16"/>
      </w:rPr>
      <w:t xml:space="preserve"> of </w:t>
    </w:r>
    <w:r w:rsidRPr="00C20A5B" w:rsidR="0021017D">
      <w:rPr>
        <w:rFonts w:ascii="Tahoma" w:hAnsi="Tahoma" w:cs="Tahoma"/>
        <w:sz w:val="16"/>
        <w:szCs w:val="16"/>
      </w:rPr>
      <w:fldChar w:fldCharType="begin"/>
    </w:r>
    <w:r w:rsidRPr="00C20A5B" w:rsidR="0021017D">
      <w:rPr>
        <w:rFonts w:ascii="Tahoma" w:hAnsi="Tahoma" w:cs="Tahoma"/>
        <w:sz w:val="16"/>
        <w:szCs w:val="16"/>
      </w:rPr>
      <w:instrText xml:space="preserve"> NUMPAGES  </w:instrText>
    </w:r>
    <w:r w:rsidRPr="00C20A5B" w:rsidR="0021017D">
      <w:rPr>
        <w:rFonts w:ascii="Tahoma" w:hAnsi="Tahoma" w:cs="Tahoma"/>
        <w:sz w:val="16"/>
        <w:szCs w:val="16"/>
      </w:rPr>
      <w:fldChar w:fldCharType="separate"/>
    </w:r>
    <w:r w:rsidR="00D25173">
      <w:rPr>
        <w:rFonts w:ascii="Tahoma" w:hAnsi="Tahoma" w:cs="Tahoma"/>
        <w:noProof/>
        <w:sz w:val="16"/>
        <w:szCs w:val="16"/>
      </w:rPr>
      <w:t>2</w:t>
    </w:r>
    <w:r w:rsidRPr="00C20A5B" w:rsidR="0021017D">
      <w:rPr>
        <w:rFonts w:ascii="Tahoma" w:hAnsi="Tahoma" w:cs="Tahoma"/>
        <w:sz w:val="16"/>
        <w:szCs w:val="16"/>
      </w:rPr>
      <w:fldChar w:fldCharType="end"/>
    </w:r>
  </w:p>
  <w:p w:rsidRPr="0021017D" w:rsidR="00847CED" w:rsidP="0021017D" w:rsidRDefault="00847CED" w14:paraId="478D521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742C" w:rsidP="00714039" w:rsidRDefault="00CF742C" w14:paraId="015E1C02" w14:textId="77777777">
      <w:pPr>
        <w:spacing w:after="0" w:line="240" w:lineRule="auto"/>
      </w:pPr>
      <w:r>
        <w:separator/>
      </w:r>
    </w:p>
  </w:footnote>
  <w:footnote w:type="continuationSeparator" w:id="0">
    <w:p w:rsidR="00CF742C" w:rsidP="00714039" w:rsidRDefault="00CF742C" w14:paraId="4EF311D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A0E" w:rsidP="00714039" w:rsidRDefault="00CB1A0E" w14:paraId="069C8754" w14:textId="1DCAFF5B">
    <w:pPr>
      <w:pStyle w:val="Header"/>
      <w:jc w:val="center"/>
      <w:rPr>
        <w:b/>
        <w:color w:val="7F7F7F" w:themeColor="text1" w:themeTint="80"/>
      </w:rPr>
    </w:pPr>
  </w:p>
  <w:p w:rsidRPr="004251A8" w:rsidR="00714039" w:rsidP="00714039" w:rsidRDefault="00714039" w14:paraId="3E005105" w14:textId="5799B298">
    <w:pPr>
      <w:pStyle w:val="Header"/>
      <w:jc w:val="center"/>
      <w:rPr>
        <w:rFonts w:ascii="Tahoma" w:hAnsi="Tahoma" w:cs="Tahoma"/>
        <w:b/>
        <w:color w:val="7F7F7F" w:themeColor="text1" w:themeTint="80"/>
        <w:sz w:val="16"/>
        <w:szCs w:val="16"/>
      </w:rPr>
    </w:pPr>
    <w:r w:rsidRPr="004251A8">
      <w:rPr>
        <w:rFonts w:ascii="Tahoma" w:hAnsi="Tahoma" w:cs="Tahoma"/>
        <w:b/>
        <w:color w:val="7F7F7F" w:themeColor="text1" w:themeTint="80"/>
        <w:sz w:val="16"/>
        <w:szCs w:val="16"/>
      </w:rPr>
      <w:t>Local Procedure Template</w:t>
    </w:r>
  </w:p>
  <w:p w:rsidR="00714039" w:rsidRDefault="00714039" w14:paraId="2D310C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5">
    <w:nsid w:val="56d8070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9F5ECE"/>
    <w:multiLevelType w:val="multilevel"/>
    <w:tmpl w:val="7A3EF9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8D682D"/>
    <w:multiLevelType w:val="multilevel"/>
    <w:tmpl w:val="A684BA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80E34C4"/>
    <w:multiLevelType w:val="multilevel"/>
    <w:tmpl w:val="269A3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D9F42CA"/>
    <w:multiLevelType w:val="multilevel"/>
    <w:tmpl w:val="E3ACDA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DBD4A10"/>
    <w:multiLevelType w:val="multilevel"/>
    <w:tmpl w:val="2FAAE7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E213EB0"/>
    <w:multiLevelType w:val="multilevel"/>
    <w:tmpl w:val="39E0B6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EF91D83"/>
    <w:multiLevelType w:val="multilevel"/>
    <w:tmpl w:val="D5141F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D4F0B1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FA07025"/>
    <w:multiLevelType w:val="multilevel"/>
    <w:tmpl w:val="FCF624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07B34B6"/>
    <w:multiLevelType w:val="multilevel"/>
    <w:tmpl w:val="BF4090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1F037A8"/>
    <w:multiLevelType w:val="multilevel"/>
    <w:tmpl w:val="C428BC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BC60252"/>
    <w:multiLevelType w:val="multilevel"/>
    <w:tmpl w:val="575849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F39271F"/>
    <w:multiLevelType w:val="multilevel"/>
    <w:tmpl w:val="2ABA78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34C0FBC"/>
    <w:multiLevelType w:val="multilevel"/>
    <w:tmpl w:val="A66AB3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7BF3BC2"/>
    <w:multiLevelType w:val="multilevel"/>
    <w:tmpl w:val="66FA08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8163827"/>
    <w:multiLevelType w:val="hybridMultilevel"/>
    <w:tmpl w:val="D1AEB5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2D9048C"/>
    <w:multiLevelType w:val="multilevel"/>
    <w:tmpl w:val="5F5A7A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85C0C3E"/>
    <w:multiLevelType w:val="multilevel"/>
    <w:tmpl w:val="A0A68C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01A1229"/>
    <w:multiLevelType w:val="multilevel"/>
    <w:tmpl w:val="E7BC9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5D979BB"/>
    <w:multiLevelType w:val="multilevel"/>
    <w:tmpl w:val="A852F7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7724A8C"/>
    <w:multiLevelType w:val="hybridMultilevel"/>
    <w:tmpl w:val="267825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BE04638"/>
    <w:multiLevelType w:val="multilevel"/>
    <w:tmpl w:val="209427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3AD728C"/>
    <w:multiLevelType w:val="multilevel"/>
    <w:tmpl w:val="7A904F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755B04F3"/>
    <w:multiLevelType w:val="multilevel"/>
    <w:tmpl w:val="1F2407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C3F45B6"/>
    <w:multiLevelType w:val="multilevel"/>
    <w:tmpl w:val="11D80E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26">
    <w:abstractNumId w:val="25"/>
  </w:num>
  <w:num w:numId="1" w16cid:durableId="98064843">
    <w:abstractNumId w:val="7"/>
  </w:num>
  <w:num w:numId="2" w16cid:durableId="578172574">
    <w:abstractNumId w:val="20"/>
  </w:num>
  <w:num w:numId="3" w16cid:durableId="44454698">
    <w:abstractNumId w:val="24"/>
  </w:num>
  <w:num w:numId="4" w16cid:durableId="875044705">
    <w:abstractNumId w:val="1"/>
  </w:num>
  <w:num w:numId="5" w16cid:durableId="1522820849">
    <w:abstractNumId w:val="6"/>
  </w:num>
  <w:num w:numId="6" w16cid:durableId="54940789">
    <w:abstractNumId w:val="12"/>
  </w:num>
  <w:num w:numId="7" w16cid:durableId="1934043526">
    <w:abstractNumId w:val="18"/>
  </w:num>
  <w:num w:numId="8" w16cid:durableId="646545089">
    <w:abstractNumId w:val="3"/>
  </w:num>
  <w:num w:numId="9" w16cid:durableId="69697161">
    <w:abstractNumId w:val="13"/>
  </w:num>
  <w:num w:numId="10" w16cid:durableId="921449371">
    <w:abstractNumId w:val="2"/>
  </w:num>
  <w:num w:numId="11" w16cid:durableId="1643077096">
    <w:abstractNumId w:val="15"/>
  </w:num>
  <w:num w:numId="12" w16cid:durableId="1146164655">
    <w:abstractNumId w:val="23"/>
  </w:num>
  <w:num w:numId="13" w16cid:durableId="1675255236">
    <w:abstractNumId w:val="17"/>
  </w:num>
  <w:num w:numId="14" w16cid:durableId="1990481182">
    <w:abstractNumId w:val="5"/>
  </w:num>
  <w:num w:numId="15" w16cid:durableId="734549306">
    <w:abstractNumId w:val="11"/>
  </w:num>
  <w:num w:numId="16" w16cid:durableId="1922252252">
    <w:abstractNumId w:val="19"/>
  </w:num>
  <w:num w:numId="17" w16cid:durableId="610818761">
    <w:abstractNumId w:val="16"/>
  </w:num>
  <w:num w:numId="18" w16cid:durableId="2145928978">
    <w:abstractNumId w:val="9"/>
  </w:num>
  <w:num w:numId="19" w16cid:durableId="1216042987">
    <w:abstractNumId w:val="21"/>
  </w:num>
  <w:num w:numId="20" w16cid:durableId="1689520570">
    <w:abstractNumId w:val="8"/>
  </w:num>
  <w:num w:numId="21" w16cid:durableId="655652150">
    <w:abstractNumId w:val="14"/>
  </w:num>
  <w:num w:numId="22" w16cid:durableId="1101876867">
    <w:abstractNumId w:val="22"/>
  </w:num>
  <w:num w:numId="23" w16cid:durableId="546063802">
    <w:abstractNumId w:val="4"/>
  </w:num>
  <w:num w:numId="24" w16cid:durableId="608052175">
    <w:abstractNumId w:val="10"/>
  </w:num>
  <w:num w:numId="25" w16cid:durableId="1422291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39"/>
    <w:rsid w:val="000213A2"/>
    <w:rsid w:val="00067E95"/>
    <w:rsid w:val="00072065"/>
    <w:rsid w:val="000B61CD"/>
    <w:rsid w:val="000E4296"/>
    <w:rsid w:val="000F6973"/>
    <w:rsid w:val="00127014"/>
    <w:rsid w:val="00141B4E"/>
    <w:rsid w:val="00142743"/>
    <w:rsid w:val="00187220"/>
    <w:rsid w:val="001C2CD5"/>
    <w:rsid w:val="001F544A"/>
    <w:rsid w:val="0021017D"/>
    <w:rsid w:val="0021316B"/>
    <w:rsid w:val="00215584"/>
    <w:rsid w:val="002240E8"/>
    <w:rsid w:val="00232096"/>
    <w:rsid w:val="00232404"/>
    <w:rsid w:val="00283F8F"/>
    <w:rsid w:val="00284399"/>
    <w:rsid w:val="002E607B"/>
    <w:rsid w:val="002E7BC7"/>
    <w:rsid w:val="002F2193"/>
    <w:rsid w:val="002F29DB"/>
    <w:rsid w:val="003134AE"/>
    <w:rsid w:val="00316D70"/>
    <w:rsid w:val="00336DC7"/>
    <w:rsid w:val="00364BDB"/>
    <w:rsid w:val="003808CB"/>
    <w:rsid w:val="003863AB"/>
    <w:rsid w:val="003C4263"/>
    <w:rsid w:val="003F7118"/>
    <w:rsid w:val="004251A8"/>
    <w:rsid w:val="004A3DF9"/>
    <w:rsid w:val="004B3015"/>
    <w:rsid w:val="004B6D43"/>
    <w:rsid w:val="00525726"/>
    <w:rsid w:val="00530F46"/>
    <w:rsid w:val="006004AA"/>
    <w:rsid w:val="00642578"/>
    <w:rsid w:val="006B5B79"/>
    <w:rsid w:val="006E1F6E"/>
    <w:rsid w:val="006F60F3"/>
    <w:rsid w:val="0070709C"/>
    <w:rsid w:val="00714039"/>
    <w:rsid w:val="007232A8"/>
    <w:rsid w:val="00753AE2"/>
    <w:rsid w:val="00784DBC"/>
    <w:rsid w:val="007B05E9"/>
    <w:rsid w:val="007E322A"/>
    <w:rsid w:val="008214D7"/>
    <w:rsid w:val="00826C87"/>
    <w:rsid w:val="00847CED"/>
    <w:rsid w:val="00864F72"/>
    <w:rsid w:val="0087286F"/>
    <w:rsid w:val="008B35B0"/>
    <w:rsid w:val="008C0321"/>
    <w:rsid w:val="009116DB"/>
    <w:rsid w:val="00941E54"/>
    <w:rsid w:val="00A0617B"/>
    <w:rsid w:val="00A372C0"/>
    <w:rsid w:val="00A6449E"/>
    <w:rsid w:val="00AA4CBB"/>
    <w:rsid w:val="00AA6614"/>
    <w:rsid w:val="00AD3141"/>
    <w:rsid w:val="00B226C9"/>
    <w:rsid w:val="00B24B26"/>
    <w:rsid w:val="00BE3E68"/>
    <w:rsid w:val="00BE4844"/>
    <w:rsid w:val="00C04203"/>
    <w:rsid w:val="00C51D06"/>
    <w:rsid w:val="00CA15C8"/>
    <w:rsid w:val="00CA73FF"/>
    <w:rsid w:val="00CB1A0E"/>
    <w:rsid w:val="00CD909A"/>
    <w:rsid w:val="00CF742C"/>
    <w:rsid w:val="00D0023C"/>
    <w:rsid w:val="00D07AD1"/>
    <w:rsid w:val="00D155D7"/>
    <w:rsid w:val="00D25173"/>
    <w:rsid w:val="00D36B5A"/>
    <w:rsid w:val="00DC1DFA"/>
    <w:rsid w:val="00E12511"/>
    <w:rsid w:val="00E16D69"/>
    <w:rsid w:val="00E546AA"/>
    <w:rsid w:val="00E65D9B"/>
    <w:rsid w:val="00E7344E"/>
    <w:rsid w:val="00ED27F4"/>
    <w:rsid w:val="00EF4FBB"/>
    <w:rsid w:val="00F0085D"/>
    <w:rsid w:val="00F066E7"/>
    <w:rsid w:val="00F116BD"/>
    <w:rsid w:val="00F21E60"/>
    <w:rsid w:val="00F60B42"/>
    <w:rsid w:val="00FA614F"/>
    <w:rsid w:val="00FE1B0D"/>
    <w:rsid w:val="00FE4413"/>
    <w:rsid w:val="0A9FFA3D"/>
    <w:rsid w:val="0AF7D1E4"/>
    <w:rsid w:val="0C1ED3A6"/>
    <w:rsid w:val="0F483774"/>
    <w:rsid w:val="1C993BEC"/>
    <w:rsid w:val="1D7CE23E"/>
    <w:rsid w:val="1ED2C5E2"/>
    <w:rsid w:val="21B0E04E"/>
    <w:rsid w:val="24567538"/>
    <w:rsid w:val="24AE2F2F"/>
    <w:rsid w:val="24BD1164"/>
    <w:rsid w:val="2BAD2120"/>
    <w:rsid w:val="3214D22D"/>
    <w:rsid w:val="33F8F61B"/>
    <w:rsid w:val="33FD1D75"/>
    <w:rsid w:val="389CFA97"/>
    <w:rsid w:val="40040972"/>
    <w:rsid w:val="41E277C5"/>
    <w:rsid w:val="42682347"/>
    <w:rsid w:val="441B76D6"/>
    <w:rsid w:val="4A262852"/>
    <w:rsid w:val="4FAB9987"/>
    <w:rsid w:val="56ABEB52"/>
    <w:rsid w:val="59537C0E"/>
    <w:rsid w:val="5EBE2440"/>
    <w:rsid w:val="610415C0"/>
    <w:rsid w:val="6218643F"/>
    <w:rsid w:val="62BA9520"/>
    <w:rsid w:val="635A780C"/>
    <w:rsid w:val="6667C02C"/>
    <w:rsid w:val="667AD2D8"/>
    <w:rsid w:val="69E57EF0"/>
    <w:rsid w:val="6FEE2DFA"/>
    <w:rsid w:val="76621F25"/>
    <w:rsid w:val="76DE99D7"/>
    <w:rsid w:val="76E3EC27"/>
    <w:rsid w:val="778205CB"/>
    <w:rsid w:val="79C510D8"/>
    <w:rsid w:val="7B7CA1F0"/>
    <w:rsid w:val="7F2F9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D60AC"/>
  <w15:docId w15:val="{78E7C3D6-D1C3-4A4C-A176-7B412F32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47CED"/>
    <w:pPr>
      <w:keepNext/>
      <w:keepLines/>
      <w:numPr>
        <w:numId w:val="1"/>
      </w:numPr>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7CED"/>
    <w:pPr>
      <w:keepNext/>
      <w:keepLines/>
      <w:numPr>
        <w:ilvl w:val="1"/>
        <w:numId w:val="1"/>
      </w:numPr>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47CED"/>
    <w:pPr>
      <w:keepNext/>
      <w:keepLines/>
      <w:numPr>
        <w:ilvl w:val="2"/>
        <w:numId w:val="1"/>
      </w:numPr>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847CED"/>
    <w:pPr>
      <w:keepNext/>
      <w:keepLines/>
      <w:numPr>
        <w:ilvl w:val="3"/>
        <w:numId w:val="1"/>
      </w:numPr>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847CED"/>
    <w:pPr>
      <w:keepNext/>
      <w:keepLines/>
      <w:numPr>
        <w:ilvl w:val="4"/>
        <w:numId w:val="1"/>
      </w:numPr>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847CED"/>
    <w:pPr>
      <w:keepNext/>
      <w:keepLines/>
      <w:numPr>
        <w:ilvl w:val="5"/>
        <w:numId w:val="1"/>
      </w:numPr>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847CED"/>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47CED"/>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47CED"/>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14039"/>
    <w:pPr>
      <w:tabs>
        <w:tab w:val="center" w:pos="4513"/>
        <w:tab w:val="right" w:pos="9026"/>
      </w:tabs>
      <w:spacing w:after="0" w:line="240" w:lineRule="auto"/>
    </w:pPr>
  </w:style>
  <w:style w:type="character" w:styleId="HeaderChar" w:customStyle="1">
    <w:name w:val="Header Char"/>
    <w:basedOn w:val="DefaultParagraphFont"/>
    <w:link w:val="Header"/>
    <w:uiPriority w:val="99"/>
    <w:rsid w:val="00714039"/>
  </w:style>
  <w:style w:type="paragraph" w:styleId="Footer">
    <w:name w:val="footer"/>
    <w:basedOn w:val="Normal"/>
    <w:link w:val="FooterChar"/>
    <w:uiPriority w:val="99"/>
    <w:unhideWhenUsed/>
    <w:rsid w:val="00714039"/>
    <w:pPr>
      <w:tabs>
        <w:tab w:val="center" w:pos="4513"/>
        <w:tab w:val="right" w:pos="9026"/>
      </w:tabs>
      <w:spacing w:after="0" w:line="240" w:lineRule="auto"/>
    </w:pPr>
  </w:style>
  <w:style w:type="character" w:styleId="FooterChar" w:customStyle="1">
    <w:name w:val="Footer Char"/>
    <w:basedOn w:val="DefaultParagraphFont"/>
    <w:link w:val="Footer"/>
    <w:uiPriority w:val="99"/>
    <w:rsid w:val="00714039"/>
  </w:style>
  <w:style w:type="paragraph" w:styleId="BalloonText">
    <w:name w:val="Balloon Text"/>
    <w:basedOn w:val="Normal"/>
    <w:link w:val="BalloonTextChar"/>
    <w:uiPriority w:val="99"/>
    <w:semiHidden/>
    <w:unhideWhenUsed/>
    <w:rsid w:val="0071403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14039"/>
    <w:rPr>
      <w:rFonts w:ascii="Tahoma" w:hAnsi="Tahoma" w:cs="Tahoma"/>
      <w:sz w:val="16"/>
      <w:szCs w:val="16"/>
    </w:rPr>
  </w:style>
  <w:style w:type="table" w:styleId="TableGrid">
    <w:name w:val="Table Grid"/>
    <w:basedOn w:val="TableNormal"/>
    <w:uiPriority w:val="59"/>
    <w:rsid w:val="007B05E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847CED"/>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semiHidden/>
    <w:rsid w:val="00847CED"/>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semiHidden/>
    <w:rsid w:val="00847CED"/>
    <w:rPr>
      <w:rFonts w:asciiTheme="majorHAnsi" w:hAnsiTheme="majorHAnsi" w:eastAsiaTheme="majorEastAsia" w:cstheme="majorBidi"/>
      <w:b/>
      <w:bCs/>
      <w:color w:val="4F81BD" w:themeColor="accent1"/>
    </w:rPr>
  </w:style>
  <w:style w:type="character" w:styleId="Heading4Char" w:customStyle="1">
    <w:name w:val="Heading 4 Char"/>
    <w:basedOn w:val="DefaultParagraphFont"/>
    <w:link w:val="Heading4"/>
    <w:uiPriority w:val="9"/>
    <w:semiHidden/>
    <w:rsid w:val="00847CED"/>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847CED"/>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847CED"/>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847CED"/>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847CED"/>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847CED"/>
    <w:rPr>
      <w:rFonts w:asciiTheme="majorHAnsi" w:hAnsiTheme="majorHAnsi" w:eastAsiaTheme="majorEastAsia" w:cstheme="majorBidi"/>
      <w:i/>
      <w:iCs/>
      <w:color w:val="404040" w:themeColor="text1" w:themeTint="BF"/>
      <w:sz w:val="20"/>
      <w:szCs w:val="20"/>
    </w:rPr>
  </w:style>
  <w:style w:type="paragraph" w:styleId="ListParagraph">
    <w:name w:val="List Paragraph"/>
    <w:basedOn w:val="Normal"/>
    <w:uiPriority w:val="34"/>
    <w:qFormat/>
    <w:rsid w:val="00847CED"/>
    <w:pPr>
      <w:ind w:left="720"/>
      <w:contextualSpacing/>
    </w:pPr>
  </w:style>
  <w:style w:type="character" w:styleId="PageNumber">
    <w:name w:val="page number"/>
    <w:basedOn w:val="DefaultParagraphFont"/>
    <w:rsid w:val="0021017D"/>
  </w:style>
  <w:style w:type="character" w:styleId="CommentReference">
    <w:name w:val="annotation reference"/>
    <w:basedOn w:val="DefaultParagraphFont"/>
    <w:uiPriority w:val="99"/>
    <w:semiHidden/>
    <w:unhideWhenUsed/>
    <w:rsid w:val="00284399"/>
    <w:rPr>
      <w:sz w:val="16"/>
      <w:szCs w:val="16"/>
    </w:rPr>
  </w:style>
  <w:style w:type="paragraph" w:styleId="CommentText">
    <w:name w:val="annotation text"/>
    <w:basedOn w:val="Normal"/>
    <w:link w:val="CommentTextChar"/>
    <w:uiPriority w:val="99"/>
    <w:unhideWhenUsed/>
    <w:rsid w:val="00284399"/>
    <w:pPr>
      <w:spacing w:line="240" w:lineRule="auto"/>
    </w:pPr>
    <w:rPr>
      <w:sz w:val="20"/>
      <w:szCs w:val="20"/>
    </w:rPr>
  </w:style>
  <w:style w:type="character" w:styleId="CommentTextChar" w:customStyle="1">
    <w:name w:val="Comment Text Char"/>
    <w:basedOn w:val="DefaultParagraphFont"/>
    <w:link w:val="CommentText"/>
    <w:uiPriority w:val="99"/>
    <w:rsid w:val="00284399"/>
    <w:rPr>
      <w:sz w:val="20"/>
      <w:szCs w:val="20"/>
    </w:rPr>
  </w:style>
  <w:style w:type="paragraph" w:styleId="CommentSubject">
    <w:name w:val="annotation subject"/>
    <w:basedOn w:val="CommentText"/>
    <w:next w:val="CommentText"/>
    <w:link w:val="CommentSubjectChar"/>
    <w:uiPriority w:val="99"/>
    <w:semiHidden/>
    <w:unhideWhenUsed/>
    <w:rsid w:val="00284399"/>
    <w:rPr>
      <w:b/>
      <w:bCs/>
    </w:rPr>
  </w:style>
  <w:style w:type="character" w:styleId="CommentSubjectChar" w:customStyle="1">
    <w:name w:val="Comment Subject Char"/>
    <w:basedOn w:val="CommentTextChar"/>
    <w:link w:val="CommentSubject"/>
    <w:uiPriority w:val="99"/>
    <w:semiHidden/>
    <w:rsid w:val="00284399"/>
    <w:rPr>
      <w:b/>
      <w:bCs/>
      <w:sz w:val="20"/>
      <w:szCs w:val="20"/>
    </w:rPr>
  </w:style>
  <w:style w:type="paragraph" w:styleId="Revision">
    <w:name w:val="Revision"/>
    <w:hidden/>
    <w:uiPriority w:val="99"/>
    <w:semiHidden/>
    <w:rsid w:val="00284399"/>
    <w:pPr>
      <w:spacing w:after="0" w:line="240" w:lineRule="auto"/>
    </w:pPr>
  </w:style>
  <w:style w:type="paragraph" w:styleId="NormalWeb">
    <w:name w:val="Normal (Web)"/>
    <w:basedOn w:val="Normal"/>
    <w:uiPriority w:val="99"/>
    <w:unhideWhenUsed/>
    <w:rsid w:val="00826C87"/>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316D70"/>
  </w:style>
  <w:style w:type="character" w:styleId="eop" w:customStyle="1">
    <w:name w:val="eop"/>
    <w:basedOn w:val="DefaultParagraphFont"/>
    <w:rsid w:val="00316D70"/>
  </w:style>
  <w:style w:type="paragraph" w:styleId="paragraph" w:customStyle="1">
    <w:name w:val="paragraph"/>
    <w:basedOn w:val="Normal"/>
    <w:rsid w:val="00316D70"/>
    <w:pPr>
      <w:spacing w:before="100" w:beforeAutospacing="1" w:after="100" w:afterAutospacing="1" w:line="240" w:lineRule="auto"/>
    </w:pPr>
    <w:rPr>
      <w:rFonts w:ascii="Times New Roman" w:hAnsi="Times New Roman" w:eastAsia="Times New Roman" w:cs="Times New Roman"/>
      <w:sz w:val="24"/>
      <w:szCs w:val="24"/>
    </w:rPr>
  </w:style>
  <w:style w:type="character" w:styleId="tabchar" w:customStyle="1">
    <w:name w:val="tabchar"/>
    <w:basedOn w:val="DefaultParagraphFont"/>
    <w:rsid w:val="00316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39B6CCB69E9E4E9BCBF865A8C9359C" ma:contentTypeVersion="16" ma:contentTypeDescription="Create a new document." ma:contentTypeScope="" ma:versionID="062f460aefed5f7039e4e5dde492d8c6">
  <xsd:schema xmlns:xsd="http://www.w3.org/2001/XMLSchema" xmlns:xs="http://www.w3.org/2001/XMLSchema" xmlns:p="http://schemas.microsoft.com/office/2006/metadata/properties" xmlns:ns2="f301a824-12ae-4b87-96ce-8bd46e178b0d" xmlns:ns3="004d13b7-96c3-4ca1-b4ae-a9ac1cf50d3f" targetNamespace="http://schemas.microsoft.com/office/2006/metadata/properties" ma:root="true" ma:fieldsID="30dabe4f60557786d9bd5e42747630e5" ns2:_="" ns3:_="">
    <xsd:import namespace="f301a824-12ae-4b87-96ce-8bd46e178b0d"/>
    <xsd:import namespace="004d13b7-96c3-4ca1-b4ae-a9ac1cf50d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1a824-12ae-4b87-96ce-8bd46e178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79bdcd2-fc57-4517-ad87-cbc1f9d6a93c}" ma:internalName="TaxCatchAll" ma:showField="CatchAllData" ma:web="f301a824-12ae-4b87-96ce-8bd46e178b0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4d13b7-96c3-4ca1-b4ae-a9ac1cf50d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01a824-12ae-4b87-96ce-8bd46e178b0d" xsi:nil="true"/>
    <lcf76f155ced4ddcb4097134ff3c332f xmlns="004d13b7-96c3-4ca1-b4ae-a9ac1cf50d3f">
      <Terms xmlns="http://schemas.microsoft.com/office/infopath/2007/PartnerControls"/>
    </lcf76f155ced4ddcb4097134ff3c332f>
    <_dlc_DocId xmlns="f301a824-12ae-4b87-96ce-8bd46e178b0d">YDUQXXY7F45Q-1181653311-642634</_dlc_DocId>
    <_dlc_DocIdUrl xmlns="f301a824-12ae-4b87-96ce-8bd46e178b0d">
      <Url>https://aspriscs.sharepoint.com/sites/ClayHillCoxlease/_layouts/15/DocIdRedir.aspx?ID=YDUQXXY7F45Q-1181653311-642634</Url>
      <Description>YDUQXXY7F45Q-1181653311-642634</Description>
    </_dlc_DocIdUrl>
  </documentManagement>
</p:properties>
</file>

<file path=customXml/itemProps1.xml><?xml version="1.0" encoding="utf-8"?>
<ds:datastoreItem xmlns:ds="http://schemas.openxmlformats.org/officeDocument/2006/customXml" ds:itemID="{1F547F64-6A2E-42F1-857E-AAD7D5761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1a824-12ae-4b87-96ce-8bd46e178b0d"/>
    <ds:schemaRef ds:uri="004d13b7-96c3-4ca1-b4ae-a9ac1cf50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8D2CD-210D-47F2-8607-5477A9A2E065}">
  <ds:schemaRefs>
    <ds:schemaRef ds:uri="http://schemas.microsoft.com/sharepoint/events"/>
  </ds:schemaRefs>
</ds:datastoreItem>
</file>

<file path=customXml/itemProps3.xml><?xml version="1.0" encoding="utf-8"?>
<ds:datastoreItem xmlns:ds="http://schemas.openxmlformats.org/officeDocument/2006/customXml" ds:itemID="{4DBE0B7E-C9E5-4F64-B804-527135432799}">
  <ds:schemaRefs>
    <ds:schemaRef ds:uri="http://schemas.microsoft.com/sharepoint/v3/contenttype/forms"/>
  </ds:schemaRefs>
</ds:datastoreItem>
</file>

<file path=customXml/itemProps4.xml><?xml version="1.0" encoding="utf-8"?>
<ds:datastoreItem xmlns:ds="http://schemas.openxmlformats.org/officeDocument/2006/customXml" ds:itemID="{93C2D090-788A-42CA-B6E8-57B7FEF9321D}">
  <ds:schemaRefs>
    <ds:schemaRef ds:uri="http://purl.org/dc/terms/"/>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004d13b7-96c3-4ca1-b4ae-a9ac1cf50d3f"/>
    <ds:schemaRef ds:uri="f301a824-12ae-4b87-96ce-8bd46e178b0d"/>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Priorygroup.com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Stephanie Rickson</dc:creator>
  <lastModifiedBy>Lisle Smith</lastModifiedBy>
  <revision>5</revision>
  <dcterms:created xsi:type="dcterms:W3CDTF">2025-09-25T09:06:00.0000000Z</dcterms:created>
  <dcterms:modified xsi:type="dcterms:W3CDTF">2025-09-25T09:33:44.9837367Z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0x010100A239B6CCB69E9E4E9BCBF865A8C9359C</vt:lpwstr>
  </property>
  <property fmtid="{D5CDD505-2E9C-101B-9397-08002B2CF9AE}" pid="3" name="_dlc_DocIdItemGuid">
    <vt:lpwstr>ccdb8d15-1177-4629-b4dc-794c6d875a8b</vt:lpwstr>
  </property>
  <property fmtid="{D5CDD505-2E9C-101B-9397-08002B2CF9AE}" pid="4" name="MediaServiceImageTags">
    <vt:lpwstr/>
  </property>
</Properties>
</file>