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14039" w:rsidP="00AF6830" w:rsidRDefault="002413F1" w14:paraId="49EE7EE5" w14:textId="221BD9D6">
      <w:pPr>
        <w:jc w:val="both"/>
      </w:pPr>
      <w:r>
        <w:rPr>
          <w:rFonts w:ascii="Tahoma" w:hAnsi="Tahoma" w:cs="Tahoma"/>
          <w:noProof/>
          <w:color w:val="365F91"/>
        </w:rPr>
        <w:drawing>
          <wp:anchor distT="0" distB="0" distL="114300" distR="114300" simplePos="0" relativeHeight="251659776" behindDoc="1" locked="0" layoutInCell="1" allowOverlap="1" wp14:anchorId="3599178C" wp14:editId="767B86C9">
            <wp:simplePos x="0" y="0"/>
            <wp:positionH relativeFrom="margin">
              <wp:align>left</wp:align>
            </wp:positionH>
            <wp:positionV relativeFrom="paragraph">
              <wp:posOffset>-622300</wp:posOffset>
            </wp:positionV>
            <wp:extent cx="1308100" cy="503770"/>
            <wp:effectExtent l="0" t="0" r="6350" b="0"/>
            <wp:wrapNone/>
            <wp:docPr id="1893084993" name="Picture 57"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84993" name="Picture 57"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8100" cy="503770"/>
                    </a:xfrm>
                    <a:prstGeom prst="rect">
                      <a:avLst/>
                    </a:prstGeom>
                  </pic:spPr>
                </pic:pic>
              </a:graphicData>
            </a:graphic>
          </wp:anchor>
        </w:drawing>
      </w:r>
    </w:p>
    <w:tbl>
      <w:tblPr>
        <w:tblStyle w:val="TableGrid"/>
        <w:tblW w:w="0" w:type="auto"/>
        <w:tblLook w:val="04A0" w:firstRow="1" w:lastRow="0" w:firstColumn="1" w:lastColumn="0" w:noHBand="0" w:noVBand="1"/>
      </w:tblPr>
      <w:tblGrid>
        <w:gridCol w:w="3437"/>
        <w:gridCol w:w="5579"/>
      </w:tblGrid>
      <w:tr w:rsidR="007B05E9" w:rsidTr="073B1456" w14:paraId="386BBEA4" w14:textId="77777777">
        <w:tc>
          <w:tcPr>
            <w:tcW w:w="3510" w:type="dxa"/>
            <w:shd w:val="clear" w:color="auto" w:fill="DBE5F1" w:themeFill="accent1" w:themeFillTint="33"/>
            <w:tcMar/>
          </w:tcPr>
          <w:p w:rsidRPr="00847CED" w:rsidR="007B05E9" w:rsidP="00AF6830" w:rsidRDefault="007B05E9" w14:paraId="5D86EDF5" w14:textId="77777777">
            <w:pPr>
              <w:jc w:val="both"/>
              <w:rPr>
                <w:b/>
              </w:rPr>
            </w:pPr>
            <w:r w:rsidRPr="00847CED">
              <w:rPr>
                <w:b/>
              </w:rPr>
              <w:t>Local Procedure Title</w:t>
            </w:r>
          </w:p>
        </w:tc>
        <w:tc>
          <w:tcPr>
            <w:tcW w:w="5732" w:type="dxa"/>
            <w:tcMar/>
          </w:tcPr>
          <w:p w:rsidRPr="001F544A" w:rsidR="007B05E9" w:rsidP="00AF6830" w:rsidRDefault="00E12511" w14:paraId="1C63B6E2" w14:textId="77777777">
            <w:pPr>
              <w:jc w:val="both"/>
              <w:rPr>
                <w:b/>
              </w:rPr>
            </w:pPr>
            <w:r>
              <w:rPr>
                <w:b/>
              </w:rPr>
              <w:t>Teaching and Learning</w:t>
            </w:r>
          </w:p>
        </w:tc>
      </w:tr>
      <w:tr w:rsidR="007B05E9" w:rsidTr="073B1456" w14:paraId="4F5A423F" w14:textId="77777777">
        <w:tc>
          <w:tcPr>
            <w:tcW w:w="3510" w:type="dxa"/>
            <w:shd w:val="clear" w:color="auto" w:fill="DBE5F1" w:themeFill="accent1" w:themeFillTint="33"/>
            <w:tcMar/>
          </w:tcPr>
          <w:p w:rsidRPr="00847CED" w:rsidR="007B05E9" w:rsidP="00AF6830" w:rsidRDefault="007B05E9" w14:paraId="187D5872" w14:textId="780809F3">
            <w:pPr>
              <w:jc w:val="both"/>
              <w:rPr>
                <w:b/>
              </w:rPr>
            </w:pPr>
            <w:r w:rsidRPr="00847CED">
              <w:rPr>
                <w:b/>
              </w:rPr>
              <w:t>S</w:t>
            </w:r>
            <w:r w:rsidR="00C57383">
              <w:rPr>
                <w:b/>
              </w:rPr>
              <w:t>ervice</w:t>
            </w:r>
          </w:p>
        </w:tc>
        <w:tc>
          <w:tcPr>
            <w:tcW w:w="5732" w:type="dxa"/>
            <w:tcMar/>
          </w:tcPr>
          <w:p w:rsidRPr="001F544A" w:rsidR="007B05E9" w:rsidP="00AF6830" w:rsidRDefault="007B05E9" w14:paraId="1BB6D01A" w14:textId="77777777">
            <w:pPr>
              <w:jc w:val="both"/>
              <w:rPr>
                <w:b/>
              </w:rPr>
            </w:pPr>
          </w:p>
        </w:tc>
      </w:tr>
      <w:tr w:rsidR="007B05E9" w:rsidTr="073B1456" w14:paraId="782E4CBE" w14:textId="77777777">
        <w:tc>
          <w:tcPr>
            <w:tcW w:w="3510" w:type="dxa"/>
            <w:shd w:val="clear" w:color="auto" w:fill="DBE5F1" w:themeFill="accent1" w:themeFillTint="33"/>
            <w:tcMar/>
          </w:tcPr>
          <w:p w:rsidRPr="00847CED" w:rsidR="007B05E9" w:rsidP="00AF6830" w:rsidRDefault="008C7B7F" w14:paraId="54AC4BB1" w14:textId="7EA4FD86">
            <w:pPr>
              <w:jc w:val="both"/>
              <w:rPr>
                <w:b/>
              </w:rPr>
            </w:pPr>
            <w:r>
              <w:rPr>
                <w:b/>
              </w:rPr>
              <w:t>A</w:t>
            </w:r>
            <w:r w:rsidRPr="00847CED" w:rsidR="007B05E9">
              <w:rPr>
                <w:b/>
              </w:rPr>
              <w:t xml:space="preserve">CS Policy </w:t>
            </w:r>
            <w:r w:rsidR="00847CED">
              <w:rPr>
                <w:b/>
              </w:rPr>
              <w:t>number and t</w:t>
            </w:r>
            <w:r w:rsidRPr="00847CED" w:rsidR="00847CED">
              <w:rPr>
                <w:b/>
              </w:rPr>
              <w:t>itle</w:t>
            </w:r>
          </w:p>
        </w:tc>
        <w:tc>
          <w:tcPr>
            <w:tcW w:w="5732" w:type="dxa"/>
            <w:tcMar/>
          </w:tcPr>
          <w:p w:rsidRPr="001F544A" w:rsidR="007B05E9" w:rsidP="00AF6830" w:rsidRDefault="008C7B7F" w14:paraId="70E0B936" w14:textId="58FFD479">
            <w:pPr>
              <w:jc w:val="both"/>
              <w:rPr>
                <w:b/>
              </w:rPr>
            </w:pPr>
            <w:r>
              <w:rPr>
                <w:b/>
              </w:rPr>
              <w:t>A</w:t>
            </w:r>
            <w:r w:rsidRPr="001F544A" w:rsidR="00BE4844">
              <w:rPr>
                <w:b/>
              </w:rPr>
              <w:t xml:space="preserve">CS </w:t>
            </w:r>
            <w:r w:rsidR="00B24B26">
              <w:rPr>
                <w:b/>
              </w:rPr>
              <w:t>3</w:t>
            </w:r>
            <w:r w:rsidR="00E12511">
              <w:rPr>
                <w:b/>
              </w:rPr>
              <w:t>2</w:t>
            </w:r>
            <w:r w:rsidRPr="001F544A" w:rsidR="00BE4844">
              <w:rPr>
                <w:b/>
              </w:rPr>
              <w:t xml:space="preserve"> </w:t>
            </w:r>
            <w:r w:rsidR="00E12511">
              <w:rPr>
                <w:b/>
              </w:rPr>
              <w:t>Teaching and Learning</w:t>
            </w:r>
          </w:p>
        </w:tc>
      </w:tr>
      <w:tr w:rsidR="008C0321" w:rsidTr="073B1456" w14:paraId="5D722F26" w14:textId="77777777">
        <w:tc>
          <w:tcPr>
            <w:tcW w:w="3510" w:type="dxa"/>
            <w:shd w:val="clear" w:color="auto" w:fill="DBE5F1" w:themeFill="accent1" w:themeFillTint="33"/>
            <w:tcMar/>
          </w:tcPr>
          <w:p w:rsidRPr="00847CED" w:rsidR="008C0321" w:rsidP="00AF6830" w:rsidRDefault="008C0321" w14:paraId="2343063E" w14:textId="77777777">
            <w:pPr>
              <w:jc w:val="both"/>
              <w:rPr>
                <w:b/>
              </w:rPr>
            </w:pPr>
            <w:r>
              <w:rPr>
                <w:b/>
              </w:rPr>
              <w:t>Local Procedure template reference</w:t>
            </w:r>
          </w:p>
        </w:tc>
        <w:tc>
          <w:tcPr>
            <w:tcW w:w="5732" w:type="dxa"/>
            <w:tcMar/>
          </w:tcPr>
          <w:p w:rsidRPr="001F544A" w:rsidR="008C0321" w:rsidP="00AF6830" w:rsidRDefault="008C7B7F" w14:paraId="5D533DAE" w14:textId="7BFFEE5E">
            <w:pPr>
              <w:jc w:val="both"/>
              <w:rPr>
                <w:b/>
              </w:rPr>
            </w:pPr>
            <w:r>
              <w:rPr>
                <w:b/>
              </w:rPr>
              <w:t>A</w:t>
            </w:r>
            <w:r w:rsidRPr="001F544A" w:rsidR="00BE4844">
              <w:rPr>
                <w:b/>
              </w:rPr>
              <w:t xml:space="preserve">CS LP </w:t>
            </w:r>
            <w:r w:rsidR="00B24B26">
              <w:rPr>
                <w:b/>
              </w:rPr>
              <w:t>3</w:t>
            </w:r>
            <w:r w:rsidR="00E12511">
              <w:rPr>
                <w:b/>
              </w:rPr>
              <w:t>2</w:t>
            </w:r>
            <w:r w:rsidRPr="001F544A" w:rsidR="00BE4844">
              <w:rPr>
                <w:b/>
              </w:rPr>
              <w:t xml:space="preserve"> </w:t>
            </w:r>
          </w:p>
        </w:tc>
      </w:tr>
      <w:tr w:rsidR="007B05E9" w:rsidTr="073B1456" w14:paraId="6435C5C8" w14:textId="77777777">
        <w:tc>
          <w:tcPr>
            <w:tcW w:w="3510" w:type="dxa"/>
            <w:shd w:val="clear" w:color="auto" w:fill="DBE5F1" w:themeFill="accent1" w:themeFillTint="33"/>
            <w:tcMar/>
          </w:tcPr>
          <w:p w:rsidRPr="00847CED" w:rsidR="007B05E9" w:rsidP="00AF6830" w:rsidRDefault="00847CED" w14:paraId="0087B713" w14:textId="77777777">
            <w:pPr>
              <w:jc w:val="both"/>
              <w:rPr>
                <w:b/>
              </w:rPr>
            </w:pPr>
            <w:r w:rsidRPr="00847CED">
              <w:rPr>
                <w:b/>
              </w:rPr>
              <w:t>Local Procedure date</w:t>
            </w:r>
          </w:p>
        </w:tc>
        <w:tc>
          <w:tcPr>
            <w:tcW w:w="5732" w:type="dxa"/>
            <w:tcMar/>
          </w:tcPr>
          <w:p w:rsidR="007B05E9" w:rsidP="00AF6830" w:rsidRDefault="007B05E9" w14:paraId="71870773" w14:textId="1B702C51">
            <w:pPr>
              <w:jc w:val="both"/>
            </w:pPr>
            <w:r w:rsidR="2FA84E6C">
              <w:rPr/>
              <w:t>01</w:t>
            </w:r>
            <w:r w:rsidR="2E895233">
              <w:rPr/>
              <w:t>/</w:t>
            </w:r>
            <w:r w:rsidR="71567A0A">
              <w:rPr/>
              <w:t>10</w:t>
            </w:r>
            <w:r w:rsidR="2E895233">
              <w:rPr/>
              <w:t>/2025</w:t>
            </w:r>
          </w:p>
        </w:tc>
      </w:tr>
      <w:tr w:rsidR="007B05E9" w:rsidTr="073B1456" w14:paraId="236C5050" w14:textId="77777777">
        <w:tc>
          <w:tcPr>
            <w:tcW w:w="3510" w:type="dxa"/>
            <w:shd w:val="clear" w:color="auto" w:fill="DBE5F1" w:themeFill="accent1" w:themeFillTint="33"/>
            <w:tcMar/>
          </w:tcPr>
          <w:p w:rsidRPr="00847CED" w:rsidR="007B05E9" w:rsidP="00AF6830" w:rsidRDefault="00847CED" w14:paraId="7DF16A89" w14:textId="77777777">
            <w:pPr>
              <w:jc w:val="both"/>
              <w:rPr>
                <w:b/>
              </w:rPr>
            </w:pPr>
            <w:r w:rsidRPr="00847CED">
              <w:rPr>
                <w:b/>
              </w:rPr>
              <w:t>Local Procedure review date</w:t>
            </w:r>
          </w:p>
        </w:tc>
        <w:tc>
          <w:tcPr>
            <w:tcW w:w="5732" w:type="dxa"/>
            <w:tcMar/>
          </w:tcPr>
          <w:p w:rsidR="007B05E9" w:rsidP="00AF6830" w:rsidRDefault="007B05E9" w14:paraId="319104A7" w14:textId="06669E0D">
            <w:pPr>
              <w:jc w:val="both"/>
            </w:pPr>
            <w:r w:rsidR="325C8F41">
              <w:rPr/>
              <w:t>Annually</w:t>
            </w:r>
          </w:p>
        </w:tc>
      </w:tr>
      <w:tr w:rsidR="007B05E9" w:rsidTr="073B1456" w14:paraId="2FC4E6C9" w14:textId="77777777">
        <w:tc>
          <w:tcPr>
            <w:tcW w:w="3510" w:type="dxa"/>
            <w:shd w:val="clear" w:color="auto" w:fill="DBE5F1" w:themeFill="accent1" w:themeFillTint="33"/>
            <w:tcMar/>
          </w:tcPr>
          <w:p w:rsidRPr="00847CED" w:rsidR="007B05E9" w:rsidP="00AF6830" w:rsidRDefault="00847CED" w14:paraId="0D51D825" w14:textId="77777777">
            <w:pPr>
              <w:jc w:val="both"/>
              <w:rPr>
                <w:b/>
              </w:rPr>
            </w:pPr>
            <w:r w:rsidRPr="00847CED">
              <w:rPr>
                <w:b/>
              </w:rPr>
              <w:t>Local Procedure Author(s)</w:t>
            </w:r>
          </w:p>
        </w:tc>
        <w:tc>
          <w:tcPr>
            <w:tcW w:w="5732" w:type="dxa"/>
            <w:tcMar/>
          </w:tcPr>
          <w:p w:rsidR="007B05E9" w:rsidP="00AF6830" w:rsidRDefault="007B05E9" w14:paraId="17DDB712" w14:textId="35CDD481">
            <w:pPr>
              <w:jc w:val="both"/>
            </w:pPr>
            <w:r w:rsidR="766B0707">
              <w:rPr/>
              <w:t>Lisle Smith</w:t>
            </w:r>
          </w:p>
        </w:tc>
      </w:tr>
      <w:tr w:rsidR="007B05E9" w:rsidTr="073B1456" w14:paraId="3910E04B" w14:textId="77777777">
        <w:tc>
          <w:tcPr>
            <w:tcW w:w="3510" w:type="dxa"/>
            <w:shd w:val="clear" w:color="auto" w:fill="DBE5F1" w:themeFill="accent1" w:themeFillTint="33"/>
            <w:tcMar/>
          </w:tcPr>
          <w:p w:rsidRPr="00847CED" w:rsidR="007B05E9" w:rsidP="00AF6830" w:rsidRDefault="00847CED" w14:paraId="2FD67E2B" w14:textId="77777777">
            <w:pPr>
              <w:jc w:val="both"/>
              <w:rPr>
                <w:b/>
              </w:rPr>
            </w:pPr>
            <w:r w:rsidRPr="00847CED">
              <w:rPr>
                <w:b/>
              </w:rPr>
              <w:t>Local Procedure Ratification</w:t>
            </w:r>
          </w:p>
        </w:tc>
        <w:tc>
          <w:tcPr>
            <w:tcW w:w="5732" w:type="dxa"/>
            <w:tcMar/>
          </w:tcPr>
          <w:p w:rsidRPr="008C0321" w:rsidR="007B05E9" w:rsidP="00AF6830" w:rsidRDefault="00847CED" w14:paraId="52B30698" w14:textId="4450BF3C">
            <w:pPr>
              <w:jc w:val="both"/>
              <w:rPr>
                <w:sz w:val="20"/>
                <w:szCs w:val="20"/>
              </w:rPr>
            </w:pPr>
            <w:r w:rsidRPr="073B1456" w:rsidR="647B77F7">
              <w:rPr>
                <w:sz w:val="20"/>
                <w:szCs w:val="20"/>
              </w:rPr>
              <w:t xml:space="preserve">Checked and </w:t>
            </w:r>
            <w:r w:rsidRPr="073B1456" w:rsidR="647B77F7">
              <w:rPr>
                <w:sz w:val="20"/>
                <w:szCs w:val="20"/>
              </w:rPr>
              <w:t>Approved</w:t>
            </w:r>
            <w:r w:rsidRPr="073B1456" w:rsidR="647B77F7">
              <w:rPr>
                <w:sz w:val="20"/>
                <w:szCs w:val="20"/>
              </w:rPr>
              <w:t xml:space="preserve"> by:              </w:t>
            </w:r>
            <w:r w:rsidRPr="073B1456" w:rsidR="00ED27F4">
              <w:rPr>
                <w:sz w:val="20"/>
                <w:szCs w:val="20"/>
              </w:rPr>
              <w:t xml:space="preserve">  </w:t>
            </w:r>
            <w:r w:rsidRPr="073B1456" w:rsidR="111F808C">
              <w:rPr>
                <w:sz w:val="20"/>
                <w:szCs w:val="20"/>
              </w:rPr>
              <w:t>E Potterton</w:t>
            </w:r>
            <w:r w:rsidRPr="073B1456" w:rsidR="00ED27F4">
              <w:rPr>
                <w:sz w:val="20"/>
                <w:szCs w:val="20"/>
              </w:rPr>
              <w:t xml:space="preserve">                             </w:t>
            </w:r>
          </w:p>
        </w:tc>
      </w:tr>
    </w:tbl>
    <w:p w:rsidRPr="00847CED" w:rsidR="00847CED" w:rsidP="00AF6830" w:rsidRDefault="00847CED" w14:paraId="57796660" w14:textId="77777777">
      <w:pPr>
        <w:jc w:val="both"/>
      </w:pPr>
    </w:p>
    <w:tbl>
      <w:tblPr>
        <w:tblStyle w:val="TableGrid"/>
        <w:tblW w:w="0" w:type="auto"/>
        <w:tblInd w:w="-34" w:type="dxa"/>
        <w:tblLook w:val="04A0" w:firstRow="1" w:lastRow="0" w:firstColumn="1" w:lastColumn="0" w:noHBand="0" w:noVBand="1"/>
      </w:tblPr>
      <w:tblGrid>
        <w:gridCol w:w="9050"/>
      </w:tblGrid>
      <w:tr w:rsidRPr="0021017D" w:rsidR="00BB540C" w:rsidTr="073B1456" w14:paraId="69320D87" w14:textId="77777777">
        <w:tc>
          <w:tcPr>
            <w:tcW w:w="9050" w:type="dxa"/>
            <w:tcMar/>
          </w:tcPr>
          <w:p w:rsidRPr="0021017D" w:rsidR="00BB540C" w:rsidP="00AF6830" w:rsidRDefault="00A04AE0" w14:paraId="67595580" w14:textId="67F38065">
            <w:pPr>
              <w:pStyle w:val="ListParagraph"/>
              <w:numPr>
                <w:ilvl w:val="0"/>
                <w:numId w:val="2"/>
              </w:numPr>
              <w:ind w:left="360"/>
              <w:jc w:val="both"/>
              <w:rPr>
                <w:b/>
              </w:rPr>
            </w:pPr>
            <w:r>
              <w:rPr>
                <w:b/>
              </w:rPr>
              <w:t>Introduction</w:t>
            </w:r>
          </w:p>
        </w:tc>
      </w:tr>
      <w:tr w:rsidRPr="0021017D" w:rsidR="00BB540C" w:rsidTr="073B1456" w14:paraId="0223143D" w14:textId="77777777">
        <w:tc>
          <w:tcPr>
            <w:tcW w:w="9050" w:type="dxa"/>
            <w:tcMar/>
          </w:tcPr>
          <w:p w:rsidR="00234057" w:rsidP="073B1456" w:rsidRDefault="00234057" w14:paraId="79AD005D" w14:textId="77777777">
            <w:pPr>
              <w:pStyle w:val="ListParagraph"/>
              <w:jc w:val="both"/>
              <w:rPr>
                <w:rFonts w:ascii="Calibri" w:hAnsi="Calibri" w:eastAsia="Calibri" w:cs="Calibri" w:asciiTheme="minorAscii" w:hAnsiTheme="minorAscii" w:eastAsiaTheme="minorAscii" w:cstheme="minorAscii"/>
                <w:color w:val="auto"/>
              </w:rPr>
            </w:pPr>
          </w:p>
          <w:p w:rsidR="00A04AE0" w:rsidP="073B1456" w:rsidRDefault="00A04AE0" w14:paraId="17B2E7F4" w14:textId="19E33F82">
            <w:pPr>
              <w:spacing w:before="0" w:beforeAutospacing="off" w:after="300" w:afterAutospacing="off" w:line="336" w:lineRule="auto"/>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0F3326FA">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This local policy defines how Teaching and Learning (T&amp;L) is delivered at Coxlease, ensuring practice is aligned with current statutory duties and trauma-informed principles. It operates in accordance with the overarching company policy “Teaching and Learning” from Aspris, and is implemented within the framework of national legislation and guidance, including but not limited to: the Children Act 1989 (as amended), the Children and Social Work Act 2017, the Education Act 1996/2002, the SEND and Inclusion framework (SEND Code of Practice 2015, updated guidance and local SEND arrangements), Keeping Children Safe in Education (KCSIE) and associated safeguarding statutory guidance, Working Together to Safeguard Children, UK GDPR and the Data Protection Act 2018, the Equality Act 2010, and any applicable regulatory or inspection requirements. This policy also reflects trauma-informed practice principles, recognizing the impact of adverse childhood experiences (ACEs) and the importance of safe, supportive, empowering learning environments that promote wellbeing, secure attachments, and resilience.</w:t>
            </w:r>
          </w:p>
          <w:p w:rsidR="00A04AE0" w:rsidP="073B1456" w:rsidRDefault="00A04AE0" w14:paraId="5F6F1D02" w14:textId="516FCE29">
            <w:pPr>
              <w:spacing w:before="0" w:beforeAutospacing="off" w:after="300" w:afterAutospacing="off" w:line="336" w:lineRule="auto"/>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0F3326FA">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This policy should be used with related school policies (e.g., Behaviour, Safeguarding/KCSIE, EHCP/ILP processes, Assessment, Inclusion, Data Protection) where applicable, ensuring a holistic, trauma-informed approach to Teaching and Learning that supports all learners, including those with SEND or safeguarding needs.</w:t>
            </w:r>
          </w:p>
          <w:p w:rsidRPr="0021017D" w:rsidR="00BB540C" w:rsidP="073B1456" w:rsidRDefault="00BB540C" w14:paraId="210CC660" w14:textId="77777777">
            <w:pPr>
              <w:pStyle w:val="ListParagraph"/>
              <w:jc w:val="both"/>
              <w:rPr>
                <w:rFonts w:ascii="Calibri" w:hAnsi="Calibri" w:eastAsia="Calibri" w:cs="Calibri" w:asciiTheme="minorAscii" w:hAnsiTheme="minorAscii" w:eastAsiaTheme="minorAscii" w:cstheme="minorAscii"/>
                <w:color w:val="auto"/>
              </w:rPr>
            </w:pPr>
          </w:p>
        </w:tc>
      </w:tr>
      <w:tr w:rsidRPr="0021017D" w:rsidR="00BB540C" w:rsidTr="073B1456" w14:paraId="0804C8C6" w14:textId="77777777">
        <w:tc>
          <w:tcPr>
            <w:tcW w:w="9050" w:type="dxa"/>
            <w:tcMar/>
          </w:tcPr>
          <w:p w:rsidRPr="0021017D" w:rsidR="00BB540C" w:rsidP="00AF6830" w:rsidRDefault="00A04AE0" w14:paraId="313CE408" w14:textId="422F41DF">
            <w:pPr>
              <w:pStyle w:val="ListParagraph"/>
              <w:numPr>
                <w:ilvl w:val="0"/>
                <w:numId w:val="2"/>
              </w:numPr>
              <w:ind w:left="360"/>
              <w:jc w:val="both"/>
              <w:rPr>
                <w:b/>
              </w:rPr>
            </w:pPr>
            <w:r>
              <w:rPr>
                <w:b/>
              </w:rPr>
              <w:t>Aims</w:t>
            </w:r>
          </w:p>
        </w:tc>
      </w:tr>
      <w:tr w:rsidRPr="0021017D" w:rsidR="00BB540C" w:rsidTr="073B1456" w14:paraId="5FE39672" w14:textId="77777777">
        <w:tc>
          <w:tcPr>
            <w:tcW w:w="9050" w:type="dxa"/>
            <w:tcMar/>
          </w:tcPr>
          <w:p w:rsidR="799EB6A9" w:rsidP="073B1456" w:rsidRDefault="799EB6A9" w14:paraId="74AAFD9C" w14:textId="509ABAD1">
            <w:pPr>
              <w:pStyle w:val="Normal"/>
              <w:spacing w:before="0" w:beforeAutospacing="off" w:after="300" w:afterAutospacing="off" w:line="336" w:lineRule="auto"/>
              <w:ind w:left="0"/>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799EB6A9">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To deliver learning that is rewarding, enjoyable, empowering, and accessible to every pupil, equipping them with the skills, knowledge, and understanding to make informed life choices. This is underpinned by the Equality Act 2010 (duty to remove barriers and ensure equality of opportunity) and the Children and Families Act 2014, including the SEND Code of Practice, to ensure </w:t>
            </w:r>
            <w:r w:rsidRPr="073B1456" w:rsidR="799EB6A9">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appropriate identification</w:t>
            </w:r>
            <w:r w:rsidRPr="073B1456" w:rsidR="799EB6A9">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support, and participation for all pupils. In line with trauma-informed practice, the approach recognises and responds to the impact of adversity (ACEs) on learning, prioritises safety and predictability, and embeds supportive relationships, with ongoing safeguarding and well-being considerations embedded in school policy and practice. Teaching and learning are delivered </w:t>
            </w:r>
            <w:r w:rsidRPr="073B1456" w:rsidR="799EB6A9">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in accordance with</w:t>
            </w:r>
            <w:r w:rsidRPr="073B1456" w:rsidR="799EB6A9">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the relevant professional standards for teachers (e.g., Teachers’ Standards and their latest revisions) and are designed to enable informed decision-making, resilience, and independence for every pupil.</w:t>
            </w:r>
          </w:p>
          <w:p w:rsidR="799EB6A9" w:rsidP="073B1456" w:rsidRDefault="799EB6A9" w14:paraId="68BF13F6" w14:textId="1762108C">
            <w:pPr>
              <w:pStyle w:val="Normal"/>
              <w:spacing w:before="0" w:beforeAutospacing="off" w:after="300" w:afterAutospacing="off" w:line="336" w:lineRule="auto"/>
              <w:ind w:left="0"/>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799EB6A9">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To provide a caring, supportive, stimulating environment where teaching inspires curiosity, resilience, independence, and meaningful progress for all pupils, with alignment to relevant professional standards and access to Autism and SEMH </w:t>
            </w:r>
            <w:r w:rsidRPr="073B1456" w:rsidR="799EB6A9">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expertise</w:t>
            </w:r>
            <w:r w:rsidRPr="073B1456" w:rsidR="799EB6A9">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as </w:t>
            </w:r>
            <w:r w:rsidRPr="073B1456" w:rsidR="799EB6A9">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required</w:t>
            </w:r>
            <w:r w:rsidRPr="073B1456" w:rsidR="799EB6A9">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This aligns with the SEND Code of Practice and the SEND provisions of the Children and Families Act 2014, ensuring proactive identification, targeted support, and inclusive access. The environment is designed through a trauma-informed lens (consistent with Department for Education guidance and safeguarding requirements) to recognise and respond to histories of adversity, reduce re-traumatisation, and build secure, trusting relationships. Where </w:t>
            </w:r>
            <w:r w:rsidRPr="073B1456" w:rsidR="799EB6A9">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appropriate</w:t>
            </w:r>
            <w:r w:rsidRPr="073B1456" w:rsidR="799EB6A9">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pupils receive access to Autism and SEMH-specific </w:t>
            </w:r>
            <w:r w:rsidRPr="073B1456" w:rsidR="799EB6A9">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expertise</w:t>
            </w:r>
            <w:r w:rsidRPr="073B1456" w:rsidR="799EB6A9">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and teaching aligns with the National Professional Standards for Teachers, as well as any specialist standards or qualifications relevant to Autism, SEMH, and SEND. This </w:t>
            </w:r>
            <w:r w:rsidRPr="073B1456" w:rsidR="799EB6A9">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holistic approach</w:t>
            </w:r>
            <w:r w:rsidRPr="073B1456" w:rsidR="799EB6A9">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aims for sustainable progress and meaningful, person-centred outcomes for all learners.</w:t>
            </w:r>
          </w:p>
          <w:p w:rsidR="073B1456" w:rsidP="073B1456" w:rsidRDefault="073B1456" w14:paraId="72F3A2C1" w14:textId="3185C970">
            <w:pPr>
              <w:pStyle w:val="ListParagraph"/>
              <w:jc w:val="both"/>
              <w:rPr>
                <w:rFonts w:ascii="Calibri" w:hAnsi="Calibri" w:eastAsia="Calibri" w:cs="Calibri" w:asciiTheme="minorAscii" w:hAnsiTheme="minorAscii" w:eastAsiaTheme="minorAscii" w:cstheme="minorAscii"/>
                <w:color w:val="auto"/>
              </w:rPr>
            </w:pPr>
          </w:p>
          <w:p w:rsidR="00234057" w:rsidP="073B1456" w:rsidRDefault="00234057" w14:paraId="365302C3" w14:textId="77777777">
            <w:pPr>
              <w:pStyle w:val="ListParagraph"/>
              <w:jc w:val="both"/>
              <w:rPr>
                <w:rFonts w:ascii="Calibri" w:hAnsi="Calibri" w:eastAsia="Calibri" w:cs="Calibri" w:asciiTheme="minorAscii" w:hAnsiTheme="minorAscii" w:eastAsiaTheme="minorAscii" w:cstheme="minorAscii"/>
                <w:color w:val="auto"/>
              </w:rPr>
            </w:pPr>
          </w:p>
          <w:p w:rsidR="00A04AE0" w:rsidP="073B1456" w:rsidRDefault="00A04AE0" w14:paraId="7F0EC6DA" w14:textId="53A65103">
            <w:pPr>
              <w:pStyle w:val="ListParagraph"/>
              <w:jc w:val="both"/>
              <w:rPr>
                <w:rFonts w:ascii="Calibri" w:hAnsi="Calibri" w:eastAsia="Calibri" w:cs="Calibri" w:asciiTheme="minorAscii" w:hAnsiTheme="minorAscii" w:eastAsiaTheme="minorAscii" w:cstheme="minorAscii"/>
                <w:color w:val="auto"/>
              </w:rPr>
            </w:pPr>
            <w:r w:rsidRPr="073B1456" w:rsidR="00A04AE0">
              <w:rPr>
                <w:rFonts w:ascii="Calibri" w:hAnsi="Calibri" w:eastAsia="Calibri" w:cs="Calibri" w:asciiTheme="minorAscii" w:hAnsiTheme="minorAscii" w:eastAsiaTheme="minorAscii" w:cstheme="minorAscii"/>
                <w:color w:val="auto"/>
              </w:rPr>
              <w:t xml:space="preserve">Teaching and Learning at </w:t>
            </w:r>
            <w:r w:rsidRPr="073B1456" w:rsidR="00A04AE0">
              <w:rPr>
                <w:rFonts w:ascii="Calibri" w:hAnsi="Calibri" w:eastAsia="Calibri" w:cs="Calibri" w:asciiTheme="minorAscii" w:hAnsiTheme="minorAscii" w:eastAsiaTheme="minorAscii" w:cstheme="minorAscii"/>
                <w:color w:val="auto"/>
              </w:rPr>
              <w:t>Coxlease</w:t>
            </w:r>
            <w:r w:rsidRPr="073B1456" w:rsidR="00A04AE0">
              <w:rPr>
                <w:rFonts w:ascii="Calibri" w:hAnsi="Calibri" w:eastAsia="Calibri" w:cs="Calibri" w:asciiTheme="minorAscii" w:hAnsiTheme="minorAscii" w:eastAsiaTheme="minorAscii" w:cstheme="minorAscii"/>
                <w:color w:val="auto"/>
              </w:rPr>
              <w:t xml:space="preserve"> will promote:</w:t>
            </w:r>
          </w:p>
          <w:p w:rsidR="073B1456" w:rsidP="073B1456" w:rsidRDefault="073B1456" w14:paraId="17A423A7" w14:textId="55D9569A">
            <w:pPr>
              <w:pStyle w:val="ListParagraph"/>
              <w:jc w:val="both"/>
              <w:rPr>
                <w:rFonts w:ascii="Calibri" w:hAnsi="Calibri" w:eastAsia="Calibri" w:cs="Calibri" w:asciiTheme="minorAscii" w:hAnsiTheme="minorAscii" w:eastAsiaTheme="minorAscii" w:cstheme="minorAscii"/>
                <w:color w:val="auto"/>
              </w:rPr>
            </w:pPr>
          </w:p>
          <w:p w:rsidR="315892E4" w:rsidP="073B1456" w:rsidRDefault="315892E4" w14:paraId="65E07E63" w14:textId="382A767D">
            <w:pPr>
              <w:pStyle w:val="ListParagraph"/>
              <w:jc w:val="both"/>
              <w:rPr>
                <w:rFonts w:ascii="Calibri" w:hAnsi="Calibri" w:eastAsia="Calibri" w:cs="Calibri" w:asciiTheme="minorAscii" w:hAnsiTheme="minorAscii" w:eastAsiaTheme="minorAscii" w:cstheme="minorAscii"/>
                <w:b w:val="1"/>
                <w:bCs w:val="1"/>
                <w:color w:val="auto"/>
              </w:rPr>
            </w:pPr>
            <w:r w:rsidRPr="073B1456" w:rsidR="315892E4">
              <w:rPr>
                <w:rFonts w:ascii="Calibri" w:hAnsi="Calibri" w:eastAsia="Calibri" w:cs="Calibri" w:asciiTheme="minorAscii" w:hAnsiTheme="minorAscii" w:eastAsiaTheme="minorAscii" w:cstheme="minorAscii"/>
                <w:b w:val="1"/>
                <w:bCs w:val="1"/>
                <w:color w:val="auto"/>
              </w:rPr>
              <w:t>The school Values</w:t>
            </w:r>
          </w:p>
          <w:p w:rsidR="315892E4" w:rsidP="073B1456" w:rsidRDefault="315892E4" w14:paraId="2B9211B2" w14:textId="58765295">
            <w:pPr>
              <w:pStyle w:val="ListParagraph"/>
              <w:jc w:val="both"/>
              <w:rPr>
                <w:rFonts w:ascii="Calibri" w:hAnsi="Calibri" w:eastAsia="Calibri" w:cs="Calibri" w:asciiTheme="minorAscii" w:hAnsiTheme="minorAscii" w:eastAsiaTheme="minorAscii" w:cstheme="minorAscii"/>
                <w:color w:val="auto"/>
              </w:rPr>
            </w:pPr>
            <w:r w:rsidRPr="073B1456" w:rsidR="315892E4">
              <w:rPr>
                <w:rFonts w:ascii="Calibri" w:hAnsi="Calibri" w:eastAsia="Calibri" w:cs="Calibri" w:asciiTheme="minorAscii" w:hAnsiTheme="minorAscii" w:eastAsiaTheme="minorAscii" w:cstheme="minorAscii"/>
                <w:color w:val="auto"/>
              </w:rPr>
              <w:t>Greatness – High aspirations for all students</w:t>
            </w:r>
          </w:p>
          <w:p w:rsidR="315892E4" w:rsidP="073B1456" w:rsidRDefault="315892E4" w14:paraId="55EA08F8" w14:textId="3AABB530">
            <w:pPr>
              <w:pStyle w:val="ListParagraph"/>
              <w:jc w:val="both"/>
              <w:rPr>
                <w:rFonts w:ascii="Calibri" w:hAnsi="Calibri" w:eastAsia="Calibri" w:cs="Calibri" w:asciiTheme="minorAscii" w:hAnsiTheme="minorAscii" w:eastAsiaTheme="minorAscii" w:cstheme="minorAscii"/>
                <w:color w:val="auto"/>
              </w:rPr>
            </w:pPr>
            <w:r w:rsidRPr="073B1456" w:rsidR="315892E4">
              <w:rPr>
                <w:rFonts w:ascii="Calibri" w:hAnsi="Calibri" w:eastAsia="Calibri" w:cs="Calibri" w:asciiTheme="minorAscii" w:hAnsiTheme="minorAscii" w:eastAsiaTheme="minorAscii" w:cstheme="minorAscii"/>
                <w:color w:val="auto"/>
              </w:rPr>
              <w:t>Resilience – Learners who can take risks in the classroom</w:t>
            </w:r>
          </w:p>
          <w:p w:rsidR="315892E4" w:rsidP="073B1456" w:rsidRDefault="315892E4" w14:paraId="2104F044" w14:textId="1E18919C">
            <w:pPr>
              <w:pStyle w:val="ListParagraph"/>
              <w:jc w:val="both"/>
              <w:rPr>
                <w:rFonts w:ascii="Calibri" w:hAnsi="Calibri" w:eastAsia="Calibri" w:cs="Calibri" w:asciiTheme="minorAscii" w:hAnsiTheme="minorAscii" w:eastAsiaTheme="minorAscii" w:cstheme="minorAscii"/>
                <w:color w:val="auto"/>
              </w:rPr>
            </w:pPr>
            <w:r w:rsidRPr="073B1456" w:rsidR="315892E4">
              <w:rPr>
                <w:rFonts w:ascii="Calibri" w:hAnsi="Calibri" w:eastAsia="Calibri" w:cs="Calibri" w:asciiTheme="minorAscii" w:hAnsiTheme="minorAscii" w:eastAsiaTheme="minorAscii" w:cstheme="minorAscii"/>
                <w:color w:val="auto"/>
              </w:rPr>
              <w:t xml:space="preserve">Opportunity – </w:t>
            </w:r>
            <w:r w:rsidRPr="073B1456" w:rsidR="25A76C2E">
              <w:rPr>
                <w:rFonts w:ascii="Calibri" w:hAnsi="Calibri" w:eastAsia="Calibri" w:cs="Calibri" w:asciiTheme="minorAscii" w:hAnsiTheme="minorAscii" w:eastAsiaTheme="minorAscii" w:cstheme="minorAscii"/>
                <w:color w:val="auto"/>
              </w:rPr>
              <w:t xml:space="preserve">A </w:t>
            </w:r>
            <w:r w:rsidRPr="073B1456" w:rsidR="315892E4">
              <w:rPr>
                <w:rFonts w:ascii="Calibri" w:hAnsi="Calibri" w:eastAsia="Calibri" w:cs="Calibri" w:asciiTheme="minorAscii" w:hAnsiTheme="minorAscii" w:eastAsiaTheme="minorAscii" w:cstheme="minorAscii"/>
                <w:color w:val="auto"/>
              </w:rPr>
              <w:t>broad experiential curriculum</w:t>
            </w:r>
          </w:p>
          <w:p w:rsidR="315892E4" w:rsidP="073B1456" w:rsidRDefault="315892E4" w14:paraId="34FFBEF8" w14:textId="36C72108">
            <w:pPr>
              <w:pStyle w:val="ListParagraph"/>
              <w:jc w:val="both"/>
              <w:rPr>
                <w:rFonts w:ascii="Calibri" w:hAnsi="Calibri" w:eastAsia="Calibri" w:cs="Calibri" w:asciiTheme="minorAscii" w:hAnsiTheme="minorAscii" w:eastAsiaTheme="minorAscii" w:cstheme="minorAscii"/>
                <w:color w:val="auto"/>
              </w:rPr>
            </w:pPr>
            <w:r w:rsidRPr="073B1456" w:rsidR="315892E4">
              <w:rPr>
                <w:rFonts w:ascii="Calibri" w:hAnsi="Calibri" w:eastAsia="Calibri" w:cs="Calibri" w:asciiTheme="minorAscii" w:hAnsiTheme="minorAscii" w:eastAsiaTheme="minorAscii" w:cstheme="minorAscii"/>
                <w:color w:val="auto"/>
              </w:rPr>
              <w:t>Well-being</w:t>
            </w:r>
            <w:r w:rsidRPr="073B1456" w:rsidR="06C35D74">
              <w:rPr>
                <w:rFonts w:ascii="Calibri" w:hAnsi="Calibri" w:eastAsia="Calibri" w:cs="Calibri" w:asciiTheme="minorAscii" w:hAnsiTheme="minorAscii" w:eastAsiaTheme="minorAscii" w:cstheme="minorAscii"/>
                <w:color w:val="auto"/>
              </w:rPr>
              <w:t xml:space="preserve"> – Safe and nurturing environment</w:t>
            </w:r>
          </w:p>
          <w:p w:rsidR="00A04AE0" w:rsidP="073B1456" w:rsidRDefault="00A04AE0" w14:paraId="74EF8B62" w14:textId="77777777">
            <w:pPr>
              <w:pStyle w:val="ListParagraph"/>
              <w:jc w:val="both"/>
              <w:rPr>
                <w:rFonts w:ascii="Calibri" w:hAnsi="Calibri" w:eastAsia="Calibri" w:cs="Calibri" w:asciiTheme="minorAscii" w:hAnsiTheme="minorAscii" w:eastAsiaTheme="minorAscii" w:cstheme="minorAscii"/>
                <w:color w:val="auto"/>
              </w:rPr>
            </w:pPr>
          </w:p>
          <w:p w:rsidR="00A04AE0" w:rsidP="073B1456" w:rsidRDefault="00A04AE0" w14:paraId="24C327EA" w14:textId="77777777">
            <w:pPr>
              <w:pStyle w:val="ListParagraph"/>
              <w:jc w:val="both"/>
              <w:rPr>
                <w:rFonts w:ascii="Calibri" w:hAnsi="Calibri" w:eastAsia="Calibri" w:cs="Calibri" w:asciiTheme="minorAscii" w:hAnsiTheme="minorAscii" w:eastAsiaTheme="minorAscii" w:cstheme="minorAscii"/>
                <w:color w:val="auto"/>
              </w:rPr>
            </w:pPr>
            <w:r w:rsidRPr="073B1456" w:rsidR="00A04AE0">
              <w:rPr>
                <w:rFonts w:ascii="Calibri" w:hAnsi="Calibri" w:eastAsia="Calibri" w:cs="Calibri" w:asciiTheme="minorAscii" w:hAnsiTheme="minorAscii" w:eastAsiaTheme="minorAscii" w:cstheme="minorAscii"/>
                <w:b w:val="1"/>
                <w:bCs w:val="1"/>
                <w:color w:val="auto"/>
              </w:rPr>
              <w:t>Core Skills for Life</w:t>
            </w:r>
            <w:r w:rsidRPr="073B1456" w:rsidR="00A04AE0">
              <w:rPr>
                <w:rFonts w:ascii="Calibri" w:hAnsi="Calibri" w:eastAsia="Calibri" w:cs="Calibri" w:asciiTheme="minorAscii" w:hAnsiTheme="minorAscii" w:eastAsiaTheme="minorAscii" w:cstheme="minorAscii"/>
                <w:color w:val="auto"/>
              </w:rPr>
              <w:t>: literacy, numeracy, digital competence, and problem-solving.</w:t>
            </w:r>
          </w:p>
          <w:p w:rsidR="00A04AE0" w:rsidP="073B1456" w:rsidRDefault="00A04AE0" w14:paraId="6DDEF27A" w14:textId="77777777">
            <w:pPr>
              <w:pStyle w:val="ListParagraph"/>
              <w:jc w:val="both"/>
              <w:rPr>
                <w:rFonts w:ascii="Calibri" w:hAnsi="Calibri" w:eastAsia="Calibri" w:cs="Calibri" w:asciiTheme="minorAscii" w:hAnsiTheme="minorAscii" w:eastAsiaTheme="minorAscii" w:cstheme="minorAscii"/>
                <w:color w:val="auto"/>
              </w:rPr>
            </w:pPr>
            <w:r w:rsidRPr="073B1456" w:rsidR="00A04AE0">
              <w:rPr>
                <w:rFonts w:ascii="Calibri" w:hAnsi="Calibri" w:eastAsia="Calibri" w:cs="Calibri" w:asciiTheme="minorAscii" w:hAnsiTheme="minorAscii" w:eastAsiaTheme="minorAscii" w:cstheme="minorAscii"/>
                <w:b w:val="1"/>
                <w:bCs w:val="1"/>
                <w:color w:val="auto"/>
              </w:rPr>
              <w:t>Independence and Resilience</w:t>
            </w:r>
            <w:r w:rsidRPr="073B1456" w:rsidR="00A04AE0">
              <w:rPr>
                <w:rFonts w:ascii="Calibri" w:hAnsi="Calibri" w:eastAsia="Calibri" w:cs="Calibri" w:asciiTheme="minorAscii" w:hAnsiTheme="minorAscii" w:eastAsiaTheme="minorAscii" w:cstheme="minorAscii"/>
                <w:color w:val="auto"/>
              </w:rPr>
              <w:t>: self-regulation, coping strategies, ownership of learning.</w:t>
            </w:r>
          </w:p>
          <w:p w:rsidR="00A04AE0" w:rsidP="073B1456" w:rsidRDefault="00A04AE0" w14:paraId="1D09348C" w14:textId="77777777">
            <w:pPr>
              <w:pStyle w:val="ListParagraph"/>
              <w:jc w:val="both"/>
              <w:rPr>
                <w:rFonts w:ascii="Calibri" w:hAnsi="Calibri" w:eastAsia="Calibri" w:cs="Calibri" w:asciiTheme="minorAscii" w:hAnsiTheme="minorAscii" w:eastAsiaTheme="minorAscii" w:cstheme="minorAscii"/>
                <w:color w:val="auto"/>
              </w:rPr>
            </w:pPr>
            <w:r w:rsidRPr="073B1456" w:rsidR="00A04AE0">
              <w:rPr>
                <w:rFonts w:ascii="Calibri" w:hAnsi="Calibri" w:eastAsia="Calibri" w:cs="Calibri" w:asciiTheme="minorAscii" w:hAnsiTheme="minorAscii" w:eastAsiaTheme="minorAscii" w:cstheme="minorAscii"/>
                <w:b w:val="1"/>
                <w:bCs w:val="1"/>
                <w:color w:val="auto"/>
              </w:rPr>
              <w:t>Creativity and Expression</w:t>
            </w:r>
            <w:r w:rsidRPr="073B1456" w:rsidR="00A04AE0">
              <w:rPr>
                <w:rFonts w:ascii="Calibri" w:hAnsi="Calibri" w:eastAsia="Calibri" w:cs="Calibri" w:asciiTheme="minorAscii" w:hAnsiTheme="minorAscii" w:eastAsiaTheme="minorAscii" w:cstheme="minorAscii"/>
                <w:color w:val="auto"/>
              </w:rPr>
              <w:t>: imagination, curiosity, and innovation.</w:t>
            </w:r>
          </w:p>
          <w:p w:rsidR="00A04AE0" w:rsidP="073B1456" w:rsidRDefault="00A04AE0" w14:paraId="0531AD03" w14:textId="77777777">
            <w:pPr>
              <w:pStyle w:val="ListParagraph"/>
              <w:jc w:val="both"/>
              <w:rPr>
                <w:rFonts w:ascii="Calibri" w:hAnsi="Calibri" w:eastAsia="Calibri" w:cs="Calibri" w:asciiTheme="minorAscii" w:hAnsiTheme="minorAscii" w:eastAsiaTheme="minorAscii" w:cstheme="minorAscii"/>
                <w:color w:val="auto"/>
              </w:rPr>
            </w:pPr>
            <w:r w:rsidRPr="073B1456" w:rsidR="00A04AE0">
              <w:rPr>
                <w:rFonts w:ascii="Calibri" w:hAnsi="Calibri" w:eastAsia="Calibri" w:cs="Calibri" w:asciiTheme="minorAscii" w:hAnsiTheme="minorAscii" w:eastAsiaTheme="minorAscii" w:cstheme="minorAscii"/>
                <w:b w:val="1"/>
                <w:bCs w:val="1"/>
                <w:color w:val="auto"/>
              </w:rPr>
              <w:t>Stretch and Challenge</w:t>
            </w:r>
            <w:r w:rsidRPr="073B1456" w:rsidR="00A04AE0">
              <w:rPr>
                <w:rFonts w:ascii="Calibri" w:hAnsi="Calibri" w:eastAsia="Calibri" w:cs="Calibri" w:asciiTheme="minorAscii" w:hAnsiTheme="minorAscii" w:eastAsiaTheme="minorAscii" w:cstheme="minorAscii"/>
                <w:color w:val="auto"/>
              </w:rPr>
              <w:t>: sequential learning with personalised goals and aspiration.</w:t>
            </w:r>
          </w:p>
          <w:p w:rsidR="00A04AE0" w:rsidP="073B1456" w:rsidRDefault="00A04AE0" w14:paraId="5DC710DF" w14:textId="77777777">
            <w:pPr>
              <w:pStyle w:val="ListParagraph"/>
              <w:jc w:val="both"/>
              <w:rPr>
                <w:rFonts w:ascii="Calibri" w:hAnsi="Calibri" w:eastAsia="Calibri" w:cs="Calibri" w:asciiTheme="minorAscii" w:hAnsiTheme="minorAscii" w:eastAsiaTheme="minorAscii" w:cstheme="minorAscii"/>
                <w:color w:val="auto"/>
              </w:rPr>
            </w:pPr>
            <w:r w:rsidRPr="073B1456" w:rsidR="00A04AE0">
              <w:rPr>
                <w:rFonts w:ascii="Calibri" w:hAnsi="Calibri" w:eastAsia="Calibri" w:cs="Calibri" w:asciiTheme="minorAscii" w:hAnsiTheme="minorAscii" w:eastAsiaTheme="minorAscii" w:cstheme="minorAscii"/>
                <w:b w:val="1"/>
                <w:bCs w:val="1"/>
                <w:color w:val="auto"/>
              </w:rPr>
              <w:t>Respect and Understanding</w:t>
            </w:r>
            <w:r w:rsidRPr="073B1456" w:rsidR="00A04AE0">
              <w:rPr>
                <w:rFonts w:ascii="Calibri" w:hAnsi="Calibri" w:eastAsia="Calibri" w:cs="Calibri" w:asciiTheme="minorAscii" w:hAnsiTheme="minorAscii" w:eastAsiaTheme="minorAscii" w:cstheme="minorAscii"/>
                <w:color w:val="auto"/>
              </w:rPr>
              <w:t>: cultural awareness, empathy, tolerance, and respect for others’ values.</w:t>
            </w:r>
          </w:p>
          <w:p w:rsidR="00A04AE0" w:rsidP="073B1456" w:rsidRDefault="00A04AE0" w14:paraId="38DF3179" w14:textId="77777777">
            <w:pPr>
              <w:pStyle w:val="ListParagraph"/>
              <w:jc w:val="both"/>
              <w:rPr>
                <w:rFonts w:ascii="Calibri" w:hAnsi="Calibri" w:eastAsia="Calibri" w:cs="Calibri" w:asciiTheme="minorAscii" w:hAnsiTheme="minorAscii" w:eastAsiaTheme="minorAscii" w:cstheme="minorAscii"/>
                <w:color w:val="auto"/>
              </w:rPr>
            </w:pPr>
            <w:r w:rsidRPr="073B1456" w:rsidR="00A04AE0">
              <w:rPr>
                <w:rFonts w:ascii="Calibri" w:hAnsi="Calibri" w:eastAsia="Calibri" w:cs="Calibri" w:asciiTheme="minorAscii" w:hAnsiTheme="minorAscii" w:eastAsiaTheme="minorAscii" w:cstheme="minorAscii"/>
                <w:b w:val="1"/>
                <w:bCs w:val="1"/>
                <w:color w:val="auto"/>
              </w:rPr>
              <w:t>Celebration of Success</w:t>
            </w:r>
            <w:r w:rsidRPr="073B1456" w:rsidR="00A04AE0">
              <w:rPr>
                <w:rFonts w:ascii="Calibri" w:hAnsi="Calibri" w:eastAsia="Calibri" w:cs="Calibri" w:asciiTheme="minorAscii" w:hAnsiTheme="minorAscii" w:eastAsiaTheme="minorAscii" w:cstheme="minorAscii"/>
                <w:color w:val="auto"/>
              </w:rPr>
              <w:t>: recognition of academic progress and personal development.</w:t>
            </w:r>
          </w:p>
          <w:p w:rsidR="00A04AE0" w:rsidP="073B1456" w:rsidRDefault="00A04AE0" w14:paraId="6579CF76" w14:textId="77777777">
            <w:pPr>
              <w:pStyle w:val="ListParagraph"/>
              <w:jc w:val="both"/>
              <w:rPr>
                <w:rFonts w:ascii="Calibri" w:hAnsi="Calibri" w:eastAsia="Calibri" w:cs="Calibri" w:asciiTheme="minorAscii" w:hAnsiTheme="minorAscii" w:eastAsiaTheme="minorAscii" w:cstheme="minorAscii"/>
                <w:color w:val="auto"/>
              </w:rPr>
            </w:pPr>
            <w:r w:rsidRPr="073B1456" w:rsidR="00A04AE0">
              <w:rPr>
                <w:rFonts w:ascii="Calibri" w:hAnsi="Calibri" w:eastAsia="Calibri" w:cs="Calibri" w:asciiTheme="minorAscii" w:hAnsiTheme="minorAscii" w:eastAsiaTheme="minorAscii" w:cstheme="minorAscii"/>
                <w:b w:val="1"/>
                <w:bCs w:val="1"/>
                <w:color w:val="auto"/>
              </w:rPr>
              <w:t>Wellbeing and Belonging</w:t>
            </w:r>
            <w:r w:rsidRPr="073B1456" w:rsidR="00A04AE0">
              <w:rPr>
                <w:rFonts w:ascii="Calibri" w:hAnsi="Calibri" w:eastAsia="Calibri" w:cs="Calibri" w:asciiTheme="minorAscii" w:hAnsiTheme="minorAscii" w:eastAsiaTheme="minorAscii" w:cstheme="minorAscii"/>
                <w:color w:val="auto"/>
              </w:rPr>
              <w:t>: emotional wellbeing, safety, positive relationships.</w:t>
            </w:r>
          </w:p>
          <w:p w:rsidR="00A04AE0" w:rsidP="073B1456" w:rsidRDefault="00A04AE0" w14:paraId="0D18E046" w14:textId="77777777">
            <w:pPr>
              <w:pStyle w:val="ListParagraph"/>
              <w:jc w:val="both"/>
              <w:rPr>
                <w:rFonts w:ascii="Calibri" w:hAnsi="Calibri" w:eastAsia="Calibri" w:cs="Calibri" w:asciiTheme="minorAscii" w:hAnsiTheme="minorAscii" w:eastAsiaTheme="minorAscii" w:cstheme="minorAscii"/>
                <w:color w:val="auto"/>
              </w:rPr>
            </w:pPr>
            <w:r w:rsidRPr="073B1456" w:rsidR="00A04AE0">
              <w:rPr>
                <w:rFonts w:ascii="Calibri" w:hAnsi="Calibri" w:eastAsia="Calibri" w:cs="Calibri" w:asciiTheme="minorAscii" w:hAnsiTheme="minorAscii" w:eastAsiaTheme="minorAscii" w:cstheme="minorAscii"/>
                <w:b w:val="1"/>
                <w:bCs w:val="1"/>
                <w:color w:val="auto"/>
              </w:rPr>
              <w:t>Strong Partnerships</w:t>
            </w:r>
            <w:r w:rsidRPr="073B1456" w:rsidR="00A04AE0">
              <w:rPr>
                <w:rFonts w:ascii="Calibri" w:hAnsi="Calibri" w:eastAsia="Calibri" w:cs="Calibri" w:asciiTheme="minorAscii" w:hAnsiTheme="minorAscii" w:eastAsiaTheme="minorAscii" w:cstheme="minorAscii"/>
                <w:color w:val="auto"/>
              </w:rPr>
              <w:t>: collaboration with families and the wider community.</w:t>
            </w:r>
          </w:p>
          <w:p w:rsidR="00A04AE0" w:rsidP="073B1456" w:rsidRDefault="00A04AE0" w14:paraId="0E60A151" w14:textId="77777777">
            <w:pPr>
              <w:pStyle w:val="ListParagraph"/>
              <w:jc w:val="both"/>
              <w:rPr>
                <w:rFonts w:ascii="Calibri" w:hAnsi="Calibri" w:eastAsia="Calibri" w:cs="Calibri" w:asciiTheme="minorAscii" w:hAnsiTheme="minorAscii" w:eastAsiaTheme="minorAscii" w:cstheme="minorAscii"/>
                <w:color w:val="auto"/>
              </w:rPr>
            </w:pPr>
            <w:r w:rsidRPr="073B1456" w:rsidR="00A04AE0">
              <w:rPr>
                <w:rFonts w:ascii="Calibri" w:hAnsi="Calibri" w:eastAsia="Calibri" w:cs="Calibri" w:asciiTheme="minorAscii" w:hAnsiTheme="minorAscii" w:eastAsiaTheme="minorAscii" w:cstheme="minorAscii"/>
                <w:b w:val="1"/>
                <w:bCs w:val="1"/>
                <w:color w:val="auto"/>
              </w:rPr>
              <w:t>Equity and Inclusion</w:t>
            </w:r>
            <w:r w:rsidRPr="073B1456" w:rsidR="00A04AE0">
              <w:rPr>
                <w:rFonts w:ascii="Calibri" w:hAnsi="Calibri" w:eastAsia="Calibri" w:cs="Calibri" w:asciiTheme="minorAscii" w:hAnsiTheme="minorAscii" w:eastAsiaTheme="minorAscii" w:cstheme="minorAscii"/>
                <w:color w:val="auto"/>
              </w:rPr>
              <w:t>: equal opportunities, access to learning, removing barriers.</w:t>
            </w:r>
          </w:p>
          <w:p w:rsidR="00A04AE0" w:rsidP="073B1456" w:rsidRDefault="00A04AE0" w14:paraId="2C1969A2" w14:textId="77777777">
            <w:pPr>
              <w:pStyle w:val="ListParagraph"/>
              <w:jc w:val="both"/>
              <w:rPr>
                <w:rFonts w:ascii="Calibri" w:hAnsi="Calibri" w:eastAsia="Calibri" w:cs="Calibri" w:asciiTheme="minorAscii" w:hAnsiTheme="minorAscii" w:eastAsiaTheme="minorAscii" w:cstheme="minorAscii"/>
                <w:color w:val="auto"/>
              </w:rPr>
            </w:pPr>
            <w:r w:rsidRPr="073B1456" w:rsidR="00A04AE0">
              <w:rPr>
                <w:rFonts w:ascii="Calibri" w:hAnsi="Calibri" w:eastAsia="Calibri" w:cs="Calibri" w:asciiTheme="minorAscii" w:hAnsiTheme="minorAscii" w:eastAsiaTheme="minorAscii" w:cstheme="minorAscii"/>
                <w:b w:val="1"/>
                <w:bCs w:val="1"/>
                <w:color w:val="auto"/>
              </w:rPr>
              <w:t>Preparation for Adulthood</w:t>
            </w:r>
            <w:r w:rsidRPr="073B1456" w:rsidR="00A04AE0">
              <w:rPr>
                <w:rFonts w:ascii="Calibri" w:hAnsi="Calibri" w:eastAsia="Calibri" w:cs="Calibri" w:asciiTheme="minorAscii" w:hAnsiTheme="minorAscii" w:eastAsiaTheme="minorAscii" w:cstheme="minorAscii"/>
                <w:color w:val="auto"/>
              </w:rPr>
              <w:t>: skills for further education, employment, independent living, and participation in society.</w:t>
            </w:r>
          </w:p>
          <w:p w:rsidR="00A04AE0" w:rsidP="073B1456" w:rsidRDefault="00A04AE0" w14:paraId="3B305C46" w14:textId="77777777">
            <w:pPr>
              <w:pStyle w:val="ListParagraph"/>
              <w:jc w:val="both"/>
              <w:rPr>
                <w:rFonts w:ascii="Calibri" w:hAnsi="Calibri" w:eastAsia="Calibri" w:cs="Calibri" w:asciiTheme="minorAscii" w:hAnsiTheme="minorAscii" w:eastAsiaTheme="minorAscii" w:cstheme="minorAscii"/>
                <w:color w:val="auto"/>
              </w:rPr>
            </w:pPr>
            <w:r w:rsidRPr="073B1456" w:rsidR="00A04AE0">
              <w:rPr>
                <w:rFonts w:ascii="Calibri" w:hAnsi="Calibri" w:eastAsia="Calibri" w:cs="Calibri" w:asciiTheme="minorAscii" w:hAnsiTheme="minorAscii" w:eastAsiaTheme="minorAscii" w:cstheme="minorAscii"/>
                <w:b w:val="1"/>
                <w:bCs w:val="1"/>
                <w:color w:val="auto"/>
              </w:rPr>
              <w:t>Pupil Voice and Advocacy</w:t>
            </w:r>
            <w:r w:rsidRPr="073B1456" w:rsidR="00A04AE0">
              <w:rPr>
                <w:rFonts w:ascii="Calibri" w:hAnsi="Calibri" w:eastAsia="Calibri" w:cs="Calibri" w:asciiTheme="minorAscii" w:hAnsiTheme="minorAscii" w:eastAsiaTheme="minorAscii" w:cstheme="minorAscii"/>
                <w:color w:val="auto"/>
              </w:rPr>
              <w:t>: pupils’ views inform teaching and decision-making.</w:t>
            </w:r>
          </w:p>
          <w:p w:rsidR="00BB540C" w:rsidP="073B1456" w:rsidRDefault="00A04AE0" w14:paraId="3A96FA72" w14:textId="299DB168">
            <w:pPr>
              <w:pStyle w:val="ListParagraph"/>
              <w:jc w:val="both"/>
              <w:rPr>
                <w:rFonts w:ascii="Calibri" w:hAnsi="Calibri" w:eastAsia="Calibri" w:cs="Calibri" w:asciiTheme="minorAscii" w:hAnsiTheme="minorAscii" w:eastAsiaTheme="minorAscii" w:cstheme="minorAscii"/>
                <w:color w:val="auto"/>
              </w:rPr>
            </w:pPr>
            <w:r w:rsidRPr="073B1456" w:rsidR="00A04AE0">
              <w:rPr>
                <w:rFonts w:ascii="Calibri" w:hAnsi="Calibri" w:eastAsia="Calibri" w:cs="Calibri" w:asciiTheme="minorAscii" w:hAnsiTheme="minorAscii" w:eastAsiaTheme="minorAscii" w:cstheme="minorAscii"/>
                <w:b w:val="1"/>
                <w:bCs w:val="1"/>
                <w:color w:val="auto"/>
              </w:rPr>
              <w:t>Holistic Support</w:t>
            </w:r>
            <w:r w:rsidRPr="073B1456" w:rsidR="00A04AE0">
              <w:rPr>
                <w:rFonts w:ascii="Calibri" w:hAnsi="Calibri" w:eastAsia="Calibri" w:cs="Calibri" w:asciiTheme="minorAscii" w:hAnsiTheme="minorAscii" w:eastAsiaTheme="minorAscii" w:cstheme="minorAscii"/>
                <w:color w:val="auto"/>
              </w:rPr>
              <w:t>: integration of therapeutic, academic, and pastoral approaches.</w:t>
            </w:r>
          </w:p>
          <w:p w:rsidRPr="0021017D" w:rsidR="00BB540C" w:rsidP="073B1456" w:rsidRDefault="00BB540C" w14:paraId="4D12A8D3" w14:textId="7AADC12F">
            <w:pPr>
              <w:pStyle w:val="Normal"/>
              <w:ind/>
              <w:jc w:val="both"/>
              <w:rPr>
                <w:rFonts w:ascii="Calibri" w:hAnsi="Calibri" w:eastAsia="Calibri" w:cs="Calibri" w:asciiTheme="minorAscii" w:hAnsiTheme="minorAscii" w:eastAsiaTheme="minorAscii" w:cstheme="minorAscii"/>
                <w:color w:val="auto"/>
              </w:rPr>
            </w:pPr>
          </w:p>
        </w:tc>
      </w:tr>
      <w:tr w:rsidRPr="0021017D" w:rsidR="00BB540C" w:rsidTr="073B1456" w14:paraId="1FEAA7C5" w14:textId="77777777">
        <w:tc>
          <w:tcPr>
            <w:tcW w:w="9050" w:type="dxa"/>
            <w:tcMar/>
          </w:tcPr>
          <w:p w:rsidRPr="0021017D" w:rsidR="00BB540C" w:rsidP="00AF6830" w:rsidRDefault="00234057" w14:paraId="390F6D8E" w14:textId="114537AC">
            <w:pPr>
              <w:pStyle w:val="ListParagraph"/>
              <w:numPr>
                <w:ilvl w:val="0"/>
                <w:numId w:val="2"/>
              </w:numPr>
              <w:ind w:left="360"/>
              <w:jc w:val="both"/>
              <w:rPr>
                <w:b/>
              </w:rPr>
            </w:pPr>
            <w:r w:rsidRPr="00234057">
              <w:rPr>
                <w:b/>
              </w:rPr>
              <w:lastRenderedPageBreak/>
              <w:t>PRINCIPLES AND APPROACHES TO TEACHING AND</w:t>
            </w:r>
            <w:r>
              <w:rPr>
                <w:b/>
              </w:rPr>
              <w:t xml:space="preserve"> LEARNING</w:t>
            </w:r>
          </w:p>
        </w:tc>
      </w:tr>
      <w:tr w:rsidRPr="0021017D" w:rsidR="00BB540C" w:rsidTr="073B1456" w14:paraId="6605053D" w14:textId="77777777">
        <w:tc>
          <w:tcPr>
            <w:tcW w:w="9050" w:type="dxa"/>
            <w:tcMar/>
          </w:tcPr>
          <w:p w:rsidR="00A04AE0" w:rsidP="073B1456" w:rsidRDefault="00A04AE0" w14:paraId="29AC699F" w14:textId="38500565">
            <w:pPr>
              <w:pStyle w:val="ListParagraph"/>
              <w:spacing w:before="0" w:beforeAutospacing="off" w:after="300" w:afterAutospacing="off" w:line="336" w:lineRule="auto"/>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00A04AE0">
              <w:rPr>
                <w:rFonts w:ascii="Calibri" w:hAnsi="Calibri" w:eastAsia="Calibri" w:cs="Calibri" w:asciiTheme="minorAscii" w:hAnsiTheme="minorAscii" w:eastAsiaTheme="minorAscii" w:cstheme="minorAscii"/>
                <w:color w:val="auto"/>
              </w:rPr>
              <w:t xml:space="preserve"> </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Principles that guide all teaching and learning (aligned with SEND statutory duties and safeguarding requirements)</w:t>
            </w:r>
          </w:p>
          <w:p w:rsidR="2A9CB91D" w:rsidP="073B1456" w:rsidRDefault="2A9CB91D" w14:paraId="6996A0D5" w14:textId="489C59DE">
            <w:pPr>
              <w:pStyle w:val="ListParagraph"/>
              <w:numPr>
                <w:ilvl w:val="0"/>
                <w:numId w:val="3"/>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Personalised, structured, and responsive to individual needs, in line with the SEND Code of Practice (0–25) and the Children and Families Act 2014, ensuring </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appropriate provision</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and adaptations for learners with SEND, including those with Autism and SEMH.</w:t>
            </w:r>
          </w:p>
          <w:p w:rsidR="2A9CB91D" w:rsidP="073B1456" w:rsidRDefault="2A9CB91D" w14:paraId="249C5A7F" w14:textId="0102E299">
            <w:pPr>
              <w:pStyle w:val="ListParagraph"/>
              <w:numPr>
                <w:ilvl w:val="0"/>
                <w:numId w:val="3"/>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Evidence-based, including strategies proven effective for learners with Autism and SEMH, informed by current best practice and continued professional development; ensures interventions meet statutory requirements under the SEND Code of Practice and KCSIE safeguarding standards.</w:t>
            </w:r>
          </w:p>
          <w:p w:rsidR="2A9CB91D" w:rsidP="073B1456" w:rsidRDefault="2A9CB91D" w14:paraId="2217B0D7" w14:textId="006763FF">
            <w:pPr>
              <w:pStyle w:val="ListParagraph"/>
              <w:numPr>
                <w:ilvl w:val="0"/>
                <w:numId w:val="3"/>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Inclusive, ambitious, and aligned with professional standards (e.g., School/Teacher Standards), Equality Act 2010 duties, and accountability structures within the relevant school’s governing body.</w:t>
            </w:r>
          </w:p>
          <w:p w:rsidR="2A9CB91D" w:rsidP="073B1456" w:rsidRDefault="2A9CB91D" w14:paraId="70031E9B" w14:textId="171821FC">
            <w:pPr>
              <w:pStyle w:val="ListParagraph"/>
              <w:numPr>
                <w:ilvl w:val="0"/>
                <w:numId w:val="3"/>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Grounded in positive relationships and trauma-informed practice: a school-wide approach recognizing ACEs and trauma effects, prioritising safety, trust, collaboration, choice, and empowerment; informed by trauma-informed frameworks and guidance from the Department for Education and practitioner bodies.</w:t>
            </w:r>
          </w:p>
          <w:p w:rsidR="2A9CB91D" w:rsidP="073B1456" w:rsidRDefault="2A9CB91D" w14:paraId="0D4AF075" w14:textId="381869D8">
            <w:pPr>
              <w:pStyle w:val="ListParagraph"/>
              <w:numPr>
                <w:ilvl w:val="0"/>
                <w:numId w:val="3"/>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Delivered in partnership with families, therapists, and external professionals as </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appropriate</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consistent with the multi-agency working ethos advocated by safeguarding legislation (Keeping Children Safe in Education) and SEND processes.</w:t>
            </w:r>
          </w:p>
          <w:p w:rsidR="2A9CB91D" w:rsidP="073B1456" w:rsidRDefault="2A9CB91D" w14:paraId="7AC35417" w14:textId="1F701BF6">
            <w:pPr>
              <w:pStyle w:val="ListParagraph"/>
              <w:numPr>
                <w:ilvl w:val="0"/>
                <w:numId w:val="3"/>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Recognition that pupils learn in diverse ways and at different paces; development of a spectrum of strategies to enable access to learning that matches strengths, interests, and needs, in line with the SEND Code of Practice and reasonable adjustments under the Equality Act 2010.</w:t>
            </w:r>
          </w:p>
          <w:p w:rsidR="2A9CB91D" w:rsidP="073B1456" w:rsidRDefault="2A9CB91D" w14:paraId="2888ECBC" w14:textId="6796E183">
            <w:pPr>
              <w:spacing w:before="0" w:beforeAutospacing="off" w:after="300" w:afterAutospacing="off" w:line="336" w:lineRule="auto"/>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Learning opportunities should be diverse and engaging, and consistent with trauma-informed practice</w:t>
            </w:r>
          </w:p>
          <w:p w:rsidR="2A9CB91D" w:rsidP="073B1456" w:rsidRDefault="2A9CB91D" w14:paraId="7C14CB4F" w14:textId="248D4D26">
            <w:pPr>
              <w:pStyle w:val="ListParagraph"/>
              <w:numPr>
                <w:ilvl w:val="0"/>
                <w:numId w:val="4"/>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a) Investigation and problem-solving to encourage curiosity, promoting inquiry-based learning within a scaffolded framework that respects individual pacing and supports self-regulation.</w:t>
            </w:r>
          </w:p>
          <w:p w:rsidR="2A9CB91D" w:rsidP="073B1456" w:rsidRDefault="2A9CB91D" w14:paraId="3119CC68" w14:textId="633B4A1F">
            <w:pPr>
              <w:pStyle w:val="ListParagraph"/>
              <w:numPr>
                <w:ilvl w:val="0"/>
                <w:numId w:val="4"/>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b) Research and enquiry-based learning to foster independence, with clear </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objectives</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accessible materials, and alternative formats as needed to remove barriers.</w:t>
            </w:r>
          </w:p>
          <w:p w:rsidR="2A9CB91D" w:rsidP="073B1456" w:rsidRDefault="2A9CB91D" w14:paraId="6B1B4C28" w14:textId="2BAF1B3B">
            <w:pPr>
              <w:pStyle w:val="ListParagraph"/>
              <w:numPr>
                <w:ilvl w:val="0"/>
                <w:numId w:val="4"/>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c) Collaborative learning (paired work, small groups, structured whole-class activities) to build social skills while ensuring inclusive participation and safeguarding in line with KCSIE expectations.</w:t>
            </w:r>
          </w:p>
          <w:p w:rsidR="2A9CB91D" w:rsidP="073B1456" w:rsidRDefault="2A9CB91D" w14:paraId="57F5CA61" w14:textId="46DF778E">
            <w:pPr>
              <w:pStyle w:val="ListParagraph"/>
              <w:numPr>
                <w:ilvl w:val="0"/>
                <w:numId w:val="4"/>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d) Independent and discovery learning with scaffolding and regulation strategies, including explicit teaching of executive function skills and self-regulation supports.</w:t>
            </w:r>
          </w:p>
          <w:p w:rsidR="2A9CB91D" w:rsidP="073B1456" w:rsidRDefault="2A9CB91D" w14:paraId="70C20828" w14:textId="158B7BF6">
            <w:pPr>
              <w:pStyle w:val="ListParagraph"/>
              <w:numPr>
                <w:ilvl w:val="0"/>
                <w:numId w:val="4"/>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e) Creative/expressive approaches (drama, art, music) for communication and self-expression, recognised as valid modes of learning within inclusive practices and evidence-based methods.</w:t>
            </w:r>
          </w:p>
          <w:p w:rsidR="2A9CB91D" w:rsidP="073B1456" w:rsidRDefault="2A9CB91D" w14:paraId="5EB5986B" w14:textId="70EC470C">
            <w:pPr>
              <w:pStyle w:val="ListParagraph"/>
              <w:numPr>
                <w:ilvl w:val="0"/>
                <w:numId w:val="4"/>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f) Practical, hands-on experiences to reinforce real-world application, including accessible adaptations and health and safety considerations per statutory guidance.</w:t>
            </w:r>
          </w:p>
          <w:p w:rsidR="2A9CB91D" w:rsidP="073B1456" w:rsidRDefault="2A9CB91D" w14:paraId="001D84C8" w14:textId="7CD147BE">
            <w:pPr>
              <w:pStyle w:val="ListParagraph"/>
              <w:numPr>
                <w:ilvl w:val="0"/>
                <w:numId w:val="4"/>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g) Digital learning and assistive technology for accessibility and independence, with data protection and accessibility requirements (DPA/GDPR) upheld.</w:t>
            </w:r>
          </w:p>
          <w:p w:rsidR="2A9CB91D" w:rsidP="073B1456" w:rsidRDefault="2A9CB91D" w14:paraId="7B793F46" w14:textId="05AC69F5">
            <w:pPr>
              <w:pStyle w:val="ListParagraph"/>
              <w:numPr>
                <w:ilvl w:val="0"/>
                <w:numId w:val="4"/>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h) Community/experiential learning (field trips, visits) linking classroom to the wider world, with proportionate risk assessments and safeguarding measures.</w:t>
            </w:r>
          </w:p>
          <w:p w:rsidR="2A9CB91D" w:rsidP="073B1456" w:rsidRDefault="2A9CB91D" w14:paraId="2F36A1AD" w14:textId="5DAB036F">
            <w:pPr>
              <w:pStyle w:val="ListParagraph"/>
              <w:numPr>
                <w:ilvl w:val="0"/>
                <w:numId w:val="4"/>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i</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Work-related and vocational learning (work experience, enterprise, life skills) aligned with the national apprenticeship/qualification framework and SEND-support planning.</w:t>
            </w:r>
          </w:p>
          <w:p w:rsidR="2A9CB91D" w:rsidP="073B1456" w:rsidRDefault="2A9CB91D" w14:paraId="66C08F83" w14:textId="24F88AF5">
            <w:pPr>
              <w:pStyle w:val="ListParagraph"/>
              <w:numPr>
                <w:ilvl w:val="0"/>
                <w:numId w:val="4"/>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j) Therapeutic and sensory approaches (outdoor learning, sensory regulation) as </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appropriate</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integrated with a trauma-informed lens and professional guidance from therapists or SEND specialists.</w:t>
            </w:r>
          </w:p>
          <w:p w:rsidR="2A9CB91D" w:rsidP="073B1456" w:rsidRDefault="2A9CB91D" w14:paraId="4F8C4BF9" w14:textId="0D33BBC7">
            <w:pPr>
              <w:spacing w:before="0" w:beforeAutospacing="off" w:after="300" w:afterAutospacing="off" w:line="336" w:lineRule="auto"/>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Pupils’ growing responsibility for learning</w:t>
            </w:r>
          </w:p>
          <w:p w:rsidR="2A9CB91D" w:rsidP="073B1456" w:rsidRDefault="2A9CB91D" w14:paraId="0EC75F1C" w14:textId="7F7BE7E2">
            <w:pPr>
              <w:pStyle w:val="ListParagraph"/>
              <w:numPr>
                <w:ilvl w:val="0"/>
                <w:numId w:val="5"/>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Pupils are supported to take increasing responsibility for their learning; we use structured reflection on how they learn, what helps them overcome challenges, and progress, </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facilitated</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through conversations, visual tools, and personalised feedback, </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in accordance with</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accessible formats and inclusive assessment practices.</w:t>
            </w:r>
          </w:p>
          <w:p w:rsidR="2A9CB91D" w:rsidP="073B1456" w:rsidRDefault="2A9CB91D" w14:paraId="43778779" w14:textId="218A2FAF">
            <w:pPr>
              <w:pStyle w:val="ListParagraph"/>
              <w:numPr>
                <w:ilvl w:val="0"/>
                <w:numId w:val="5"/>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Self-review and peer-review are embedded where possible; plenaries and retrieval practice </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consolidate</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learning, review progress against targets, and </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identify</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next steps, with consideration of SEND review cycles and safeguarding oversight where applicable.</w:t>
            </w:r>
          </w:p>
          <w:p w:rsidR="2A9CB91D" w:rsidP="073B1456" w:rsidRDefault="2A9CB91D" w14:paraId="158F9B02" w14:textId="1C2DE9BC">
            <w:pPr>
              <w:spacing w:before="0" w:beforeAutospacing="off" w:after="300" w:afterAutospacing="off" w:line="336" w:lineRule="auto"/>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Feedback, assessment, and records</w:t>
            </w:r>
          </w:p>
          <w:p w:rsidR="2A9CB91D" w:rsidP="073B1456" w:rsidRDefault="2A9CB91D" w14:paraId="31E45768" w14:textId="1EE526B5">
            <w:pPr>
              <w:pStyle w:val="ListParagraph"/>
              <w:numPr>
                <w:ilvl w:val="0"/>
                <w:numId w:val="6"/>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Feedback is constructive, </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timely</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accessible, and tailored to each pupil’s communication style and needs, including alternative formats and communication supports as required by SEND plans and KCSIE safeguarding principles.</w:t>
            </w:r>
          </w:p>
          <w:p w:rsidR="2A9CB91D" w:rsidP="073B1456" w:rsidRDefault="2A9CB91D" w14:paraId="3D20D8D6" w14:textId="25B9ECB1">
            <w:pPr>
              <w:pStyle w:val="ListParagraph"/>
              <w:numPr>
                <w:ilvl w:val="0"/>
                <w:numId w:val="6"/>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Teaching and Learning aims integrate the development of resilience, communication, emotional regulation, problem-solving, independence, and self-advocacy into daily learning; preparations for life beyond school are embedded, with pupil involvement in reviewing learning, setting targets, and celebrating progress.</w:t>
            </w:r>
          </w:p>
          <w:p w:rsidR="2A9CB91D" w:rsidP="073B1456" w:rsidRDefault="2A9CB91D" w14:paraId="3443FCCF" w14:textId="79320FBA">
            <w:pPr>
              <w:pStyle w:val="ListParagraph"/>
              <w:numPr>
                <w:ilvl w:val="0"/>
                <w:numId w:val="6"/>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Keep </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accurate</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records to inform planning, review meetings, and multi-agency collaboration; ensure data protection, consent, and information-sharing procedures </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comply with</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DPA/GDPR and safeguarding </w:t>
            </w:r>
            <w:r w:rsidRPr="073B1456" w:rsidR="3E0908B5">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requirements and</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align with the SEND Code of Practice and local protocols.</w:t>
            </w:r>
          </w:p>
          <w:p w:rsidR="2A9CB91D" w:rsidP="073B1456" w:rsidRDefault="2A9CB91D" w14:paraId="757CA9C8" w14:textId="0D9F1778">
            <w:pPr>
              <w:spacing w:before="0" w:beforeAutospacing="off" w:after="300" w:afterAutospacing="off" w:line="336" w:lineRule="auto"/>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Governance and safeguarding considerations</w:t>
            </w:r>
          </w:p>
          <w:p w:rsidR="2A9CB91D" w:rsidP="073B1456" w:rsidRDefault="2A9CB91D" w14:paraId="5479BA21" w14:textId="44D62EC0">
            <w:pPr>
              <w:pStyle w:val="ListParagraph"/>
              <w:numPr>
                <w:ilvl w:val="0"/>
                <w:numId w:val="7"/>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All provisions and practices reflect statutory duties under the Children and Families Act 2014, the SEND Code of Practice (0–25), Equality Act 2010, and Keeping Children Safe in Education (KCSIE) expectations.</w:t>
            </w:r>
          </w:p>
          <w:p w:rsidR="2A9CB91D" w:rsidP="073B1456" w:rsidRDefault="2A9CB91D" w14:paraId="5335F3F0" w14:textId="1E702E99">
            <w:pPr>
              <w:pStyle w:val="ListParagraph"/>
              <w:numPr>
                <w:ilvl w:val="0"/>
                <w:numId w:val="7"/>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Trauma-informed practice is embedded across policy, environment, relationships, and routines; staff are trained to recognise and respond to trauma-related needs, prioritise safety, and collaborate with families and professionals to support well-being and learning.</w:t>
            </w:r>
          </w:p>
          <w:p w:rsidR="2A9CB91D" w:rsidP="073B1456" w:rsidRDefault="2A9CB91D" w14:paraId="42950724" w14:textId="0768110E">
            <w:pPr>
              <w:pStyle w:val="ListParagraph"/>
              <w:numPr>
                <w:ilvl w:val="0"/>
                <w:numId w:val="7"/>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Record-keeping and multi-agency collaboration are conducted with </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appropriate consent</w:t>
            </w:r>
            <w:r w:rsidRPr="073B1456" w:rsidR="2A9CB91D">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and confidentiality, supporting effective transitions, annual reviews, and progress reporting in line with SEND requirements and safeguarding protocols.</w:t>
            </w:r>
          </w:p>
          <w:p w:rsidR="073B1456" w:rsidP="073B1456" w:rsidRDefault="073B1456" w14:paraId="430978C9" w14:textId="29DD3FDD">
            <w:pPr>
              <w:pStyle w:val="ListParagraph"/>
              <w:jc w:val="both"/>
              <w:rPr>
                <w:rFonts w:ascii="Calibri" w:hAnsi="Calibri" w:eastAsia="Calibri" w:cs="Calibri" w:asciiTheme="minorAscii" w:hAnsiTheme="minorAscii" w:eastAsiaTheme="minorAscii" w:cstheme="minorAscii"/>
                <w:color w:val="auto"/>
              </w:rPr>
            </w:pPr>
          </w:p>
          <w:p w:rsidRPr="0021017D" w:rsidR="00BB540C" w:rsidP="073B1456" w:rsidRDefault="00BB540C" w14:paraId="269966AF" w14:textId="77777777">
            <w:pPr>
              <w:pStyle w:val="ListParagraph"/>
              <w:ind w:left="0"/>
              <w:jc w:val="both"/>
              <w:rPr>
                <w:rFonts w:ascii="Calibri" w:hAnsi="Calibri" w:eastAsia="Calibri" w:cs="Calibri" w:asciiTheme="minorAscii" w:hAnsiTheme="minorAscii" w:eastAsiaTheme="minorAscii" w:cstheme="minorAscii"/>
                <w:color w:val="auto"/>
              </w:rPr>
            </w:pPr>
          </w:p>
        </w:tc>
      </w:tr>
      <w:tr w:rsidRPr="0021017D" w:rsidR="00BB540C" w:rsidTr="073B1456" w14:paraId="42318436" w14:textId="77777777">
        <w:tc>
          <w:tcPr>
            <w:tcW w:w="9050" w:type="dxa"/>
            <w:tcMar/>
          </w:tcPr>
          <w:p w:rsidRPr="0021017D" w:rsidR="00BB540C" w:rsidP="00AF6830" w:rsidRDefault="00234057" w14:paraId="69A6E1CE" w14:textId="4840E6B8">
            <w:pPr>
              <w:pStyle w:val="ListParagraph"/>
              <w:numPr>
                <w:ilvl w:val="0"/>
                <w:numId w:val="2"/>
              </w:numPr>
              <w:ind w:left="360"/>
              <w:jc w:val="both"/>
              <w:rPr>
                <w:b/>
              </w:rPr>
            </w:pPr>
            <w:r w:rsidRPr="00234057">
              <w:rPr>
                <w:b/>
              </w:rPr>
              <w:t>TEACHING AND LEARNING STRATEGIES</w:t>
            </w:r>
          </w:p>
        </w:tc>
      </w:tr>
      <w:tr w:rsidRPr="0021017D" w:rsidR="00BB540C" w:rsidTr="073B1456" w14:paraId="5E7F7751" w14:textId="77777777">
        <w:tc>
          <w:tcPr>
            <w:tcW w:w="9050" w:type="dxa"/>
            <w:tcMar/>
          </w:tcPr>
          <w:p w:rsidR="2E223233" w:rsidP="073B1456" w:rsidRDefault="2E223233" w14:paraId="45BCD56A" w14:textId="081FD91F">
            <w:pPr>
              <w:spacing w:before="0" w:beforeAutospacing="off" w:after="300" w:afterAutospacing="off" w:line="336" w:lineRule="auto"/>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Effective teaching is characterized by </w:t>
            </w: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high expectations</w:t>
            </w: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inclusive practice, and responsiveness to pupil needs, grounded in current laws and trauma-informed principles. Teachers should </w:t>
            </w: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demonstrate</w:t>
            </w: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w:t>
            </w:r>
          </w:p>
          <w:p w:rsidR="2E223233" w:rsidP="073B1456" w:rsidRDefault="2E223233" w14:paraId="560CD90B" w14:textId="227485B0">
            <w:pPr>
              <w:spacing w:before="0" w:beforeAutospacing="off" w:after="300" w:afterAutospacing="off" w:line="336" w:lineRule="auto"/>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Professional Expertise</w:t>
            </w:r>
          </w:p>
          <w:p w:rsidR="2E223233" w:rsidP="073B1456" w:rsidRDefault="2E223233" w14:paraId="6508663A" w14:textId="18AD4C2D">
            <w:pPr>
              <w:pStyle w:val="ListParagraph"/>
              <w:numPr>
                <w:ilvl w:val="0"/>
                <w:numId w:val="8"/>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Maintain up-to-date subject knowledge to ensure engaging, </w:t>
            </w: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accurate</w:t>
            </w: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and relevant learning (legal duty to provide </w:t>
            </w: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appropriate education</w:t>
            </w: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under the Children and Families Act 2014 and the SEND Code of Practice 2015).</w:t>
            </w:r>
          </w:p>
          <w:p w:rsidR="2E223233" w:rsidP="073B1456" w:rsidRDefault="2E223233" w14:paraId="1CA3ACC4" w14:textId="3D476E2E">
            <w:pPr>
              <w:pStyle w:val="ListParagraph"/>
              <w:numPr>
                <w:ilvl w:val="0"/>
                <w:numId w:val="8"/>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Value all pupils, promoting equality, diversity, and inclusion in line with the Equality Act 2010.</w:t>
            </w:r>
          </w:p>
          <w:p w:rsidR="2E223233" w:rsidP="073B1456" w:rsidRDefault="2E223233" w14:paraId="02705FEC" w14:textId="559623FE">
            <w:pPr>
              <w:pStyle w:val="ListParagraph"/>
              <w:numPr>
                <w:ilvl w:val="0"/>
                <w:numId w:val="8"/>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Create a stimulating, safe, and predictable learning environment that supports pupils’ sense of safety and trust (trauma-informed practice principles: safety, trustworthiness, and transparency).</w:t>
            </w:r>
          </w:p>
          <w:p w:rsidR="2E223233" w:rsidP="073B1456" w:rsidRDefault="2E223233" w14:paraId="5985C46F" w14:textId="6C870063">
            <w:pPr>
              <w:pStyle w:val="ListParagraph"/>
              <w:numPr>
                <w:ilvl w:val="0"/>
                <w:numId w:val="8"/>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Commit to ongoing professional development, reflective practice, and supervision that enhances trauma-informed approaches and safeguarding, consistent with safeguarding requirements in Working Together to Safeguard Children and local safeguarding policies.</w:t>
            </w:r>
          </w:p>
          <w:p w:rsidR="2E223233" w:rsidP="073B1456" w:rsidRDefault="2E223233" w14:paraId="3864C3CE" w14:textId="461AF44C">
            <w:pPr>
              <w:spacing w:before="0" w:beforeAutospacing="off" w:after="300" w:afterAutospacing="off" w:line="336" w:lineRule="auto"/>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Planning and Curriculum Delivery</w:t>
            </w:r>
          </w:p>
          <w:p w:rsidR="2E223233" w:rsidP="073B1456" w:rsidRDefault="2E223233" w14:paraId="5E8EAF61" w14:textId="551488E9">
            <w:pPr>
              <w:pStyle w:val="ListParagraph"/>
              <w:numPr>
                <w:ilvl w:val="0"/>
                <w:numId w:val="9"/>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Plan sequenced, structured, ambitious learning aligned with the school’s curriculum intent and the pupil’s needs, including adaptations required by the SEND Code of Practice 2015 and individual Education Health and Care Plans (EHCPs).</w:t>
            </w:r>
          </w:p>
          <w:p w:rsidR="2E223233" w:rsidP="073B1456" w:rsidRDefault="2E223233" w14:paraId="620A668C" w14:textId="575B5428">
            <w:pPr>
              <w:pStyle w:val="ListParagraph"/>
              <w:numPr>
                <w:ilvl w:val="0"/>
                <w:numId w:val="9"/>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Use clear, personalised </w:t>
            </w: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objectives</w:t>
            </w: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communicated accessibly (e.g., visual supports, task breakdowns) to reduce ambiguity and support learners with diverse communication needs (trauma-informed practice emphasizes predictability and agency).</w:t>
            </w:r>
          </w:p>
          <w:p w:rsidR="2E223233" w:rsidP="073B1456" w:rsidRDefault="2E223233" w14:paraId="7C4202BC" w14:textId="7BB6223D">
            <w:pPr>
              <w:pStyle w:val="ListParagraph"/>
              <w:numPr>
                <w:ilvl w:val="0"/>
                <w:numId w:val="9"/>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Ensure EHCPs and therapy/multi-disciplinary advice inform lesson planning; collaborate with speech and language therapists, occupational therapists, and other professionals as required by the SEND Code of Practice.</w:t>
            </w:r>
          </w:p>
          <w:p w:rsidR="2E223233" w:rsidP="073B1456" w:rsidRDefault="2E223233" w14:paraId="29FD99BE" w14:textId="22B70B22">
            <w:pPr>
              <w:pStyle w:val="ListParagraph"/>
              <w:numPr>
                <w:ilvl w:val="0"/>
                <w:numId w:val="9"/>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Provide opportunities for stretch and challenge with scaffolded tasks, ensuring reasonable adjustments under the Equality Act 2010.</w:t>
            </w:r>
          </w:p>
          <w:p w:rsidR="2E223233" w:rsidP="073B1456" w:rsidRDefault="2E223233" w14:paraId="34DCE699" w14:textId="5D188DE3">
            <w:pPr>
              <w:pStyle w:val="ListParagraph"/>
              <w:numPr>
                <w:ilvl w:val="0"/>
                <w:numId w:val="9"/>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Extend learning beyond the classroom through community-based learning and life skills opportunities, supporting social inclusion and resilience.</w:t>
            </w:r>
          </w:p>
          <w:p w:rsidR="2E223233" w:rsidP="073B1456" w:rsidRDefault="2E223233" w14:paraId="65B066A1" w14:textId="2C1EAAF8">
            <w:pPr>
              <w:spacing w:before="0" w:beforeAutospacing="off" w:after="300" w:afterAutospacing="off" w:line="336" w:lineRule="auto"/>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Inclusive and Adaptive Teaching</w:t>
            </w:r>
          </w:p>
          <w:p w:rsidR="2E223233" w:rsidP="073B1456" w:rsidRDefault="2E223233" w14:paraId="6F3BBD94" w14:textId="25CD075B">
            <w:pPr>
              <w:pStyle w:val="ListParagraph"/>
              <w:numPr>
                <w:ilvl w:val="0"/>
                <w:numId w:val="10"/>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Use a range of evidence-based, multisensory, experiential, practical, and digital approaches to meet diverse learner needs and reduce barriers to learning (SEND Code of Practice and inclusive education obligations).</w:t>
            </w:r>
          </w:p>
          <w:p w:rsidR="2E223233" w:rsidP="073B1456" w:rsidRDefault="2E223233" w14:paraId="2A91884A" w14:textId="3878F5C4">
            <w:pPr>
              <w:pStyle w:val="ListParagraph"/>
              <w:numPr>
                <w:ilvl w:val="0"/>
                <w:numId w:val="10"/>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Implement autism-informed strategies (structured routines, visual supports, predictable transitions, task breakdowns) in line with best practice and statutory expectations for pupil with SEND.</w:t>
            </w:r>
          </w:p>
          <w:p w:rsidR="2E223233" w:rsidP="073B1456" w:rsidRDefault="2E223233" w14:paraId="59381BDB" w14:textId="19FDBECC">
            <w:pPr>
              <w:pStyle w:val="ListParagraph"/>
              <w:numPr>
                <w:ilvl w:val="0"/>
                <w:numId w:val="10"/>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Use diverse communication supports (visuals, simplified language, AAC, social stories, key vocabulary) to enable accessible learning for all pupils.</w:t>
            </w:r>
          </w:p>
          <w:p w:rsidR="2E223233" w:rsidP="073B1456" w:rsidRDefault="2E223233" w14:paraId="1BA8E0A8" w14:textId="420E9464">
            <w:pPr>
              <w:pStyle w:val="ListParagraph"/>
              <w:numPr>
                <w:ilvl w:val="0"/>
                <w:numId w:val="10"/>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Create low-arousal, autism-friendly environments with calm spaces; consider environmental factors that affect regulation and engagement (trauma-informed principles: sensory safety and regulated environments).</w:t>
            </w:r>
          </w:p>
          <w:p w:rsidR="2E223233" w:rsidP="073B1456" w:rsidRDefault="2E223233" w14:paraId="59646297" w14:textId="4D6C84AA">
            <w:pPr>
              <w:pStyle w:val="ListParagraph"/>
              <w:numPr>
                <w:ilvl w:val="0"/>
                <w:numId w:val="10"/>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Integrate sensory regulation, regulation breaks, and personalised tools to support neurodiverse learners and those with trauma histories.</w:t>
            </w:r>
          </w:p>
          <w:p w:rsidR="2E223233" w:rsidP="073B1456" w:rsidRDefault="2E223233" w14:paraId="64A7BAFC" w14:textId="1602CE7E">
            <w:pPr>
              <w:pStyle w:val="ListParagraph"/>
              <w:numPr>
                <w:ilvl w:val="0"/>
                <w:numId w:val="10"/>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Incorporate therapeutic and wellbeing approaches to remove barriers to learning, aligning with the Mental Health and Wellbeing expectations within schools and the wider safeguarding framework.</w:t>
            </w:r>
          </w:p>
          <w:p w:rsidR="2E223233" w:rsidP="073B1456" w:rsidRDefault="2E223233" w14:paraId="2253B77E" w14:textId="3AC0771C">
            <w:pPr>
              <w:pStyle w:val="ListParagraph"/>
              <w:numPr>
                <w:ilvl w:val="0"/>
                <w:numId w:val="10"/>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Utilise learning support staff, assistive technology, and specialist resources to scaffold progress and support inclusive practice.</w:t>
            </w:r>
          </w:p>
          <w:p w:rsidR="2E223233" w:rsidP="073B1456" w:rsidRDefault="2E223233" w14:paraId="0AC680D0" w14:textId="7E840CB5">
            <w:pPr>
              <w:pStyle w:val="ListParagraph"/>
              <w:numPr>
                <w:ilvl w:val="0"/>
                <w:numId w:val="10"/>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Provide regular opportunities for pupil choice and decision-making to promote autonomy and empowerment, consistent with trauma-informed care.</w:t>
            </w:r>
          </w:p>
          <w:p w:rsidR="2E223233" w:rsidP="073B1456" w:rsidRDefault="2E223233" w14:paraId="0670A437" w14:textId="3C5B51EA">
            <w:pPr>
              <w:spacing w:before="0" w:beforeAutospacing="off" w:after="300" w:afterAutospacing="off" w:line="336" w:lineRule="auto"/>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Assessment, Feedback and Progress</w:t>
            </w:r>
          </w:p>
          <w:p w:rsidR="2E223233" w:rsidP="073B1456" w:rsidRDefault="2E223233" w14:paraId="7A92F3C1" w14:textId="7134CB57">
            <w:pPr>
              <w:pStyle w:val="ListParagraph"/>
              <w:numPr>
                <w:ilvl w:val="0"/>
                <w:numId w:val="11"/>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Continuously </w:t>
            </w: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monitor</w:t>
            </w: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and record pupil progress using formative and summative methods; ensure assessment practices are accessible, unbiased, and aligned with the SEND Code of Practice and Equality Act duties.</w:t>
            </w:r>
          </w:p>
          <w:p w:rsidR="2E223233" w:rsidP="073B1456" w:rsidRDefault="2E223233" w14:paraId="26771DB8" w14:textId="43D2787A">
            <w:pPr>
              <w:pStyle w:val="ListParagraph"/>
              <w:numPr>
                <w:ilvl w:val="0"/>
                <w:numId w:val="11"/>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Use feedback to inform planning and interventions, with attention to emotional safety and pupil agency as core components of trauma-informed feedback.</w:t>
            </w:r>
          </w:p>
          <w:p w:rsidR="2E223233" w:rsidP="073B1456" w:rsidRDefault="2E223233" w14:paraId="2308DB96" w14:textId="6339F002">
            <w:pPr>
              <w:spacing w:before="0" w:beforeAutospacing="off" w:after="300" w:afterAutospacing="off" w:line="336" w:lineRule="auto"/>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Behaviour, Relationships and Wellbeing</w:t>
            </w:r>
          </w:p>
          <w:p w:rsidR="2E223233" w:rsidP="073B1456" w:rsidRDefault="2E223233" w14:paraId="4DFD2A27" w14:textId="282E3081">
            <w:pPr>
              <w:pStyle w:val="ListParagraph"/>
              <w:numPr>
                <w:ilvl w:val="0"/>
                <w:numId w:val="12"/>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Model positive relationships, empathy, and respect; ensure relational safety and a supportive classroom climate in line with safeguarding expectations and trauma-informed practice.</w:t>
            </w:r>
          </w:p>
          <w:p w:rsidR="2E223233" w:rsidP="073B1456" w:rsidRDefault="2E223233" w14:paraId="5568A6F7" w14:textId="340485D8">
            <w:pPr>
              <w:pStyle w:val="ListParagraph"/>
              <w:numPr>
                <w:ilvl w:val="0"/>
                <w:numId w:val="12"/>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Use and regularly review individual behaviour support plans and risk assessments as required by safeguarding and SEND provisions.</w:t>
            </w:r>
          </w:p>
          <w:p w:rsidR="2E223233" w:rsidP="073B1456" w:rsidRDefault="2E223233" w14:paraId="69872C5D" w14:textId="1D0AB639">
            <w:pPr>
              <w:pStyle w:val="ListParagraph"/>
              <w:numPr>
                <w:ilvl w:val="0"/>
                <w:numId w:val="12"/>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Apply proactive strategies and de-escalation to </w:t>
            </w: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maintain</w:t>
            </w: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a calm learning environment, recognising the impact of trauma on </w:t>
            </w: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behavio</w:t>
            </w:r>
            <w:r w:rsidRPr="073B1456" w:rsidR="6E1653D5">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u</w:t>
            </w: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r</w:t>
            </w: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and supporting culturally responsive approaches.</w:t>
            </w:r>
          </w:p>
          <w:p w:rsidR="2E223233" w:rsidP="073B1456" w:rsidRDefault="2E223233" w14:paraId="6ED588BD" w14:textId="4633CF08">
            <w:pPr>
              <w:pStyle w:val="ListParagraph"/>
              <w:numPr>
                <w:ilvl w:val="0"/>
                <w:numId w:val="12"/>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Recognise and praise effort and achievement to build confidence; create opportunities for initiative and responsible learning in a supported, trauma-informed way (empowerment, collaboration, and choice).</w:t>
            </w:r>
          </w:p>
          <w:p w:rsidR="2E223233" w:rsidP="073B1456" w:rsidRDefault="2E223233" w14:paraId="3253186A" w14:textId="1B81D47E">
            <w:pPr>
              <w:pStyle w:val="ListParagraph"/>
              <w:numPr>
                <w:ilvl w:val="0"/>
                <w:numId w:val="12"/>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Ensure safeguarding is integral to all strategies, with clear pathways for reporting concerns in line with statutory duties under Working Together to Safeguard Children and local safeguarding policies.</w:t>
            </w:r>
          </w:p>
          <w:p w:rsidR="2E223233" w:rsidP="073B1456" w:rsidRDefault="2E223233" w14:paraId="06FD7402" w14:textId="76F9CEA1">
            <w:pPr>
              <w:pStyle w:val="ListParagraph"/>
              <w:numPr>
                <w:ilvl w:val="0"/>
                <w:numId w:val="13"/>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Trauma-Informed Practice: principles of safety, trust, collaboration, choice, empowerment; ongoing staff training and supervision; attention to sensory and relational factors that </w:t>
            </w: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impact</w:t>
            </w:r>
            <w:r w:rsidRPr="073B1456" w:rsidR="2E223233">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learning.</w:t>
            </w:r>
          </w:p>
          <w:p w:rsidR="073B1456" w:rsidP="073B1456" w:rsidRDefault="073B1456" w14:paraId="60516A96" w14:textId="73DDA23A">
            <w:pPr>
              <w:pStyle w:val="ListParagraph"/>
              <w:jc w:val="both"/>
              <w:rPr>
                <w:rFonts w:ascii="Calibri" w:hAnsi="Calibri" w:eastAsia="Calibri" w:cs="Calibri" w:asciiTheme="minorAscii" w:hAnsiTheme="minorAscii" w:eastAsiaTheme="minorAscii" w:cstheme="minorAscii"/>
                <w:color w:val="auto"/>
              </w:rPr>
            </w:pPr>
          </w:p>
          <w:p w:rsidRPr="0021017D" w:rsidR="00BB540C" w:rsidP="073B1456" w:rsidRDefault="00BB540C" w14:paraId="10F9E97F" w14:textId="77777777">
            <w:pPr>
              <w:pStyle w:val="ListParagraph"/>
              <w:ind w:left="0"/>
              <w:jc w:val="both"/>
              <w:rPr>
                <w:rFonts w:ascii="Calibri" w:hAnsi="Calibri" w:eastAsia="Calibri" w:cs="Calibri" w:asciiTheme="minorAscii" w:hAnsiTheme="minorAscii" w:eastAsiaTheme="minorAscii" w:cstheme="minorAscii"/>
                <w:color w:val="auto"/>
              </w:rPr>
            </w:pPr>
          </w:p>
        </w:tc>
      </w:tr>
      <w:tr w:rsidRPr="0021017D" w:rsidR="00BB540C" w:rsidTr="073B1456" w14:paraId="3F5EE233" w14:textId="77777777">
        <w:tc>
          <w:tcPr>
            <w:tcW w:w="9050" w:type="dxa"/>
            <w:tcMar/>
          </w:tcPr>
          <w:p w:rsidRPr="0021017D" w:rsidR="00BB540C" w:rsidP="00AF6830" w:rsidRDefault="00234057" w14:paraId="5B113D05" w14:textId="1C49E524">
            <w:pPr>
              <w:pStyle w:val="ListParagraph"/>
              <w:numPr>
                <w:ilvl w:val="0"/>
                <w:numId w:val="2"/>
              </w:numPr>
              <w:ind w:left="360"/>
              <w:jc w:val="both"/>
              <w:rPr>
                <w:b/>
              </w:rPr>
            </w:pPr>
            <w:r w:rsidRPr="00234057">
              <w:rPr>
                <w:b/>
              </w:rPr>
              <w:lastRenderedPageBreak/>
              <w:t>ASSESSMENT AND PROGRESS</w:t>
            </w:r>
          </w:p>
        </w:tc>
      </w:tr>
      <w:tr w:rsidRPr="0021017D" w:rsidR="00BB540C" w:rsidTr="073B1456" w14:paraId="58122E3F" w14:textId="77777777">
        <w:tc>
          <w:tcPr>
            <w:tcW w:w="9050" w:type="dxa"/>
            <w:tcMar/>
          </w:tcPr>
          <w:p w:rsidR="085042C7" w:rsidP="073B1456" w:rsidRDefault="085042C7" w14:paraId="3A55EF7F" w14:textId="0E47FBC8">
            <w:pPr>
              <w:spacing w:before="0" w:beforeAutospacing="off" w:after="300" w:afterAutospacing="off" w:line="336" w:lineRule="auto"/>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Assessment is integral and used to:</w:t>
            </w:r>
          </w:p>
          <w:p w:rsidR="085042C7" w:rsidP="073B1456" w:rsidRDefault="085042C7" w14:paraId="6554F409" w14:textId="228E7402">
            <w:pPr>
              <w:pStyle w:val="ListParagraph"/>
              <w:numPr>
                <w:ilvl w:val="0"/>
                <w:numId w:val="14"/>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Identify</w:t>
            </w: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starting points and functional attainment levels in alignment with the SEND Code of Practice (Department for Education) 0–25 and the pupil’s EHCP outcomes, under the Children and Families Act 2014.</w:t>
            </w:r>
          </w:p>
          <w:p w:rsidR="085042C7" w:rsidP="073B1456" w:rsidRDefault="085042C7" w14:paraId="00CFF965" w14:textId="7238B3A1">
            <w:pPr>
              <w:pStyle w:val="ListParagraph"/>
              <w:numPr>
                <w:ilvl w:val="0"/>
                <w:numId w:val="14"/>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Track academic, social, emotional, and communication progress </w:t>
            </w: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in accordance with</w:t>
            </w: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duties under the SEND Code of Practice and the Equality Act 2010 to ensure reasonable adjustments and inclusive practice.</w:t>
            </w:r>
          </w:p>
          <w:p w:rsidR="085042C7" w:rsidP="073B1456" w:rsidRDefault="085042C7" w14:paraId="24EB8C77" w14:textId="01C54B9C">
            <w:pPr>
              <w:pStyle w:val="ListParagraph"/>
              <w:numPr>
                <w:ilvl w:val="0"/>
                <w:numId w:val="14"/>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Celebrate achievement and inform planning, with governance and safeguarding considerations grounded in the Independent School Standards (England) Regulations 2014 (as amended) and the </w:t>
            </w: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school’s</w:t>
            </w: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duty to promote pupils’ well-being.</w:t>
            </w:r>
          </w:p>
          <w:p w:rsidR="085042C7" w:rsidP="073B1456" w:rsidRDefault="085042C7" w14:paraId="7C94F03F" w14:textId="1B4FB177">
            <w:pPr>
              <w:pStyle w:val="ListParagraph"/>
              <w:numPr>
                <w:ilvl w:val="0"/>
                <w:numId w:val="14"/>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Demonstrate impact at individual, class, and school level for accountability purposes, as required by the Independent School Standards (England) and the Education Act 1996 (and </w:t>
            </w: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subsequent</w:t>
            </w: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amendments).</w:t>
            </w:r>
          </w:p>
          <w:p w:rsidR="085042C7" w:rsidP="073B1456" w:rsidRDefault="085042C7" w14:paraId="0E06F3BF" w14:textId="50768176">
            <w:pPr>
              <w:spacing w:before="0" w:beforeAutospacing="off" w:after="300" w:afterAutospacing="off" w:line="336" w:lineRule="auto"/>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Approaches to Assessment:</w:t>
            </w:r>
          </w:p>
          <w:p w:rsidR="085042C7" w:rsidP="073B1456" w:rsidRDefault="085042C7" w14:paraId="294B8818" w14:textId="634EDEC2">
            <w:pPr>
              <w:pStyle w:val="ListParagraph"/>
              <w:numPr>
                <w:ilvl w:val="0"/>
                <w:numId w:val="16"/>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Assessment for Learning: ongoing checks of understanding with responsive teaching, in line with SEND Code of Practice and the school’s duties under the Equality Act 2010 to provide </w:t>
            </w: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equitable</w:t>
            </w: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access to learning.</w:t>
            </w:r>
          </w:p>
          <w:p w:rsidR="085042C7" w:rsidP="073B1456" w:rsidRDefault="085042C7" w14:paraId="09323DCB" w14:textId="67F38332">
            <w:pPr>
              <w:pStyle w:val="ListParagraph"/>
              <w:numPr>
                <w:ilvl w:val="0"/>
                <w:numId w:val="16"/>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Holistic assessment: progress across academic and personal development per EHCP targets, as required by the SEND Code of Practice and statutory duties in the Children and Families Act 2014.</w:t>
            </w:r>
          </w:p>
          <w:p w:rsidR="085042C7" w:rsidP="073B1456" w:rsidRDefault="085042C7" w14:paraId="4FD5A598" w14:textId="596C1A61">
            <w:pPr>
              <w:pStyle w:val="ListParagraph"/>
              <w:numPr>
                <w:ilvl w:val="0"/>
                <w:numId w:val="16"/>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Engagement Model: for pupils below national curriculum level, focusing on exploration, realisation, anticipation, persistence, initiation, and consistent with inclusive practices mandated by the Equality Act 2010 and the SEND Code of Practice.</w:t>
            </w:r>
          </w:p>
          <w:p w:rsidR="085042C7" w:rsidP="073B1456" w:rsidRDefault="085042C7" w14:paraId="089B1E68" w14:textId="0CA448DC">
            <w:pPr>
              <w:pStyle w:val="ListParagraph"/>
              <w:numPr>
                <w:ilvl w:val="0"/>
                <w:numId w:val="16"/>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Formative and summative approaches to build a comprehensive progress picture, ensuring continuity with statutory assessment frameworks and the school’s reporting obligations under the Independent School Standards.</w:t>
            </w:r>
          </w:p>
          <w:p w:rsidR="085042C7" w:rsidP="073B1456" w:rsidRDefault="085042C7" w14:paraId="140E96AF" w14:textId="30467404">
            <w:pPr>
              <w:pStyle w:val="ListParagraph"/>
              <w:numPr>
                <w:ilvl w:val="0"/>
                <w:numId w:val="16"/>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Quantitative and qualitative data collection and benchmarking for school priorities, aligned with regulatory expectations for evaluation, target setting, and continuous improvement.</w:t>
            </w:r>
          </w:p>
          <w:p w:rsidR="085042C7" w:rsidP="073B1456" w:rsidRDefault="085042C7" w14:paraId="117FBB13" w14:textId="25347AA4">
            <w:pPr>
              <w:spacing w:before="0" w:beforeAutospacing="off" w:after="300" w:afterAutospacing="off" w:line="336" w:lineRule="auto"/>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Monitoring and Reporting Progress:</w:t>
            </w:r>
          </w:p>
          <w:p w:rsidR="085042C7" w:rsidP="073B1456" w:rsidRDefault="085042C7" w14:paraId="079B26A4" w14:textId="23F8411B">
            <w:pPr>
              <w:pStyle w:val="ListParagraph"/>
              <w:numPr>
                <w:ilvl w:val="0"/>
                <w:numId w:val="17"/>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Teachers </w:t>
            </w: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maintain</w:t>
            </w: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detailed records to inform planning and multi-agency work, in line with the SEND Code of Practice, EHCP requirements, and data-sharing considerations under GDPR in conjunction with safeguarding duties.</w:t>
            </w:r>
          </w:p>
          <w:p w:rsidR="085042C7" w:rsidP="073B1456" w:rsidRDefault="085042C7" w14:paraId="6BD2AB14" w14:textId="2E9270CE">
            <w:pPr>
              <w:pStyle w:val="ListParagraph"/>
              <w:numPr>
                <w:ilvl w:val="0"/>
                <w:numId w:val="17"/>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Progress against EHCP outcomes is reviewed at least termly and at Annual Review, as required by the Children and Families Act 2014 and the SEND Code of Practice.</w:t>
            </w:r>
          </w:p>
          <w:p w:rsidR="085042C7" w:rsidP="073B1456" w:rsidRDefault="085042C7" w14:paraId="1FCD38D1" w14:textId="5C777FAE">
            <w:pPr>
              <w:pStyle w:val="ListParagraph"/>
              <w:numPr>
                <w:ilvl w:val="0"/>
                <w:numId w:val="17"/>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Whole-school data analysis informs target setting, intervention evaluation, and development planning, consistent with the Independent School Standards (England) and the school’s statutory duties to </w:t>
            </w: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monitor</w:t>
            </w:r>
            <w:r w:rsidRPr="073B1456" w:rsidR="085042C7">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evaluate, and improve educational provision.</w:t>
            </w:r>
          </w:p>
          <w:p w:rsidR="073B1456" w:rsidP="073B1456" w:rsidRDefault="073B1456" w14:paraId="233AC8D0" w14:textId="51767154">
            <w:pPr>
              <w:pStyle w:val="ListParagraph"/>
              <w:jc w:val="both"/>
              <w:rPr>
                <w:rFonts w:ascii="Calibri" w:hAnsi="Calibri" w:eastAsia="Calibri" w:cs="Calibri" w:asciiTheme="minorAscii" w:hAnsiTheme="minorAscii" w:eastAsiaTheme="minorAscii" w:cstheme="minorAscii"/>
                <w:color w:val="auto"/>
              </w:rPr>
            </w:pPr>
          </w:p>
          <w:p w:rsidRPr="0021017D" w:rsidR="00BB540C" w:rsidP="073B1456" w:rsidRDefault="00BB540C" w14:paraId="6A158EBF" w14:textId="77777777">
            <w:pPr>
              <w:pStyle w:val="ListParagraph"/>
              <w:ind w:left="0"/>
              <w:jc w:val="both"/>
              <w:rPr>
                <w:rFonts w:ascii="Calibri" w:hAnsi="Calibri" w:eastAsia="Calibri" w:cs="Calibri" w:asciiTheme="minorAscii" w:hAnsiTheme="minorAscii" w:eastAsiaTheme="minorAscii" w:cstheme="minorAscii"/>
                <w:color w:val="auto"/>
              </w:rPr>
            </w:pPr>
          </w:p>
        </w:tc>
      </w:tr>
      <w:tr w:rsidRPr="0021017D" w:rsidR="00BB540C" w:rsidTr="073B1456" w14:paraId="25659226" w14:textId="77777777">
        <w:tc>
          <w:tcPr>
            <w:tcW w:w="9050" w:type="dxa"/>
            <w:tcMar/>
          </w:tcPr>
          <w:p w:rsidRPr="0021017D" w:rsidR="00BB540C" w:rsidP="00AF6830" w:rsidRDefault="00AF6830" w14:paraId="4C850033" w14:textId="343D112A">
            <w:pPr>
              <w:pStyle w:val="ListParagraph"/>
              <w:numPr>
                <w:ilvl w:val="0"/>
                <w:numId w:val="2"/>
              </w:numPr>
              <w:ind w:left="360"/>
              <w:jc w:val="both"/>
              <w:rPr>
                <w:b/>
              </w:rPr>
            </w:pPr>
            <w:r w:rsidRPr="00AF6830">
              <w:rPr>
                <w:b/>
              </w:rPr>
              <w:lastRenderedPageBreak/>
              <w:t>LEARNING ENVIRONMENT AND RESOURCING</w:t>
            </w:r>
          </w:p>
        </w:tc>
      </w:tr>
      <w:tr w:rsidRPr="0021017D" w:rsidR="00BB540C" w:rsidTr="073B1456" w14:paraId="520ED8F7" w14:textId="77777777">
        <w:tc>
          <w:tcPr>
            <w:tcW w:w="9050" w:type="dxa"/>
            <w:tcMar/>
          </w:tcPr>
          <w:p w:rsidR="5198BD88" w:rsidP="073B1456" w:rsidRDefault="5198BD88" w14:paraId="3F192CDF" w14:textId="0F9E2BAB">
            <w:pPr>
              <w:pStyle w:val="Normal"/>
              <w:spacing w:before="0" w:beforeAutospacing="off" w:after="300" w:afterAutospacing="off" w:line="336" w:lineRule="auto"/>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5198BD88">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a) Inclusive and Accessible Resources </w:t>
            </w:r>
          </w:p>
          <w:p w:rsidR="5198BD88" w:rsidP="073B1456" w:rsidRDefault="5198BD88" w14:paraId="33EE843B" w14:textId="75B862DD">
            <w:pPr>
              <w:pStyle w:val="ListParagraph"/>
              <w:numPr>
                <w:ilvl w:val="0"/>
                <w:numId w:val="18"/>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5198BD88">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Resources are adapted to individual histories and needs, including language level, communication style, culture, development stage, and any trauma-related responses.</w:t>
            </w:r>
          </w:p>
          <w:p w:rsidR="5198BD88" w:rsidP="073B1456" w:rsidRDefault="5198BD88" w14:paraId="4E067377" w14:textId="15E54FC7">
            <w:pPr>
              <w:pStyle w:val="ListParagraph"/>
              <w:numPr>
                <w:ilvl w:val="0"/>
                <w:numId w:val="18"/>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5198BD88">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Equitable access to high-quality resources, including assistive technology and specialist equipment, supports safety, choice, and control for all learners.</w:t>
            </w:r>
          </w:p>
          <w:p w:rsidR="5198BD88" w:rsidP="073B1456" w:rsidRDefault="5198BD88" w14:paraId="47AE1875" w14:textId="7E934B24">
            <w:pPr>
              <w:pStyle w:val="ListParagraph"/>
              <w:numPr>
                <w:ilvl w:val="0"/>
                <w:numId w:val="18"/>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5198BD88">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Visual supports, sensory tools, and therapeutic resources are used to promote engagement, self-regulation, relationship-building, and developing independence, with sensitivity to past experiences of distress.</w:t>
            </w:r>
          </w:p>
          <w:p w:rsidR="5198BD88" w:rsidP="073B1456" w:rsidRDefault="5198BD88" w14:paraId="1E7F9326" w14:textId="0F1DBB93">
            <w:pPr>
              <w:spacing w:before="0" w:beforeAutospacing="off" w:after="300" w:afterAutospacing="off" w:line="336" w:lineRule="auto"/>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5198BD88">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b) Autism- and SEMH-Friendly Environments </w:t>
            </w:r>
          </w:p>
          <w:p w:rsidR="5198BD88" w:rsidP="073B1456" w:rsidRDefault="5198BD88" w14:paraId="11D62820" w14:textId="44890EFA">
            <w:pPr>
              <w:pStyle w:val="ListParagraph"/>
              <w:numPr>
                <w:ilvl w:val="0"/>
                <w:numId w:val="19"/>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5198BD88">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Calm, predictable classrooms with clear routines, predictable transitions, and low sensory overload to foster safety and trust.</w:t>
            </w:r>
          </w:p>
          <w:p w:rsidR="5198BD88" w:rsidP="073B1456" w:rsidRDefault="5198BD88" w14:paraId="52C67A3C" w14:textId="3E5DAA1D">
            <w:pPr>
              <w:pStyle w:val="ListParagraph"/>
              <w:numPr>
                <w:ilvl w:val="0"/>
                <w:numId w:val="19"/>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5198BD88">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Purposeful, distraction-limited displays that support learning and celebrate achievement without overstimulation or triggering past experiences.</w:t>
            </w:r>
          </w:p>
          <w:p w:rsidR="5198BD88" w:rsidP="073B1456" w:rsidRDefault="5198BD88" w14:paraId="7156BD5A" w14:textId="42D310AB">
            <w:pPr>
              <w:pStyle w:val="ListParagraph"/>
              <w:numPr>
                <w:ilvl w:val="0"/>
                <w:numId w:val="19"/>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5198BD88">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Safe spaces and regulation areas available in every setting, with clear purpose and respectful adult support.</w:t>
            </w:r>
          </w:p>
          <w:p w:rsidR="5198BD88" w:rsidP="073B1456" w:rsidRDefault="5198BD88" w14:paraId="64B88CB8" w14:textId="79BDFC4E">
            <w:pPr>
              <w:pStyle w:val="ListParagraph"/>
              <w:numPr>
                <w:ilvl w:val="0"/>
                <w:numId w:val="19"/>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5198BD88">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Environments designed to foster autonomy, positive interactions, and confidence, underpinned by consistency, nomination, and familiarity to reduce fear or chaos.</w:t>
            </w:r>
          </w:p>
          <w:p w:rsidR="5198BD88" w:rsidP="073B1456" w:rsidRDefault="5198BD88" w14:paraId="7909B0A5" w14:textId="3017E1EE">
            <w:pPr>
              <w:spacing w:before="0" w:beforeAutospacing="off" w:after="300" w:afterAutospacing="off" w:line="336" w:lineRule="auto"/>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5198BD88">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c) Effective Use of Resources </w:t>
            </w:r>
          </w:p>
          <w:p w:rsidR="5198BD88" w:rsidP="073B1456" w:rsidRDefault="5198BD88" w14:paraId="6E3994C6" w14:textId="14825232">
            <w:pPr>
              <w:pStyle w:val="ListParagraph"/>
              <w:numPr>
                <w:ilvl w:val="0"/>
                <w:numId w:val="20"/>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5198BD88">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Resources are used creatively to enhance learning while prioritizing safety, choice, and empowerment; staff are deployed to scaffold, build relationships, and promote independence.</w:t>
            </w:r>
          </w:p>
          <w:p w:rsidR="5198BD88" w:rsidP="073B1456" w:rsidRDefault="5198BD88" w14:paraId="29C0E0E2" w14:textId="10BAD8AF">
            <w:pPr>
              <w:pStyle w:val="ListParagraph"/>
              <w:numPr>
                <w:ilvl w:val="0"/>
                <w:numId w:val="20"/>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5198BD88">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Digital tools are integrated to broaden access, encourage self-directed learning, and prepare pupils for future opportunities, with attention to privacy, consent, and trauma sensitivity.</w:t>
            </w:r>
          </w:p>
          <w:p w:rsidR="5198BD88" w:rsidP="073B1456" w:rsidRDefault="5198BD88" w14:paraId="17D0693F" w14:textId="45141D48">
            <w:pPr>
              <w:spacing w:before="0" w:beforeAutospacing="off" w:after="300" w:afterAutospacing="off" w:line="336" w:lineRule="auto"/>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5198BD88">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d) Resource Review and Development </w:t>
            </w:r>
          </w:p>
          <w:p w:rsidR="5198BD88" w:rsidP="073B1456" w:rsidRDefault="5198BD88" w14:paraId="4ADF4744" w14:textId="6110939D">
            <w:pPr>
              <w:pStyle w:val="ListParagraph"/>
              <w:numPr>
                <w:ilvl w:val="0"/>
                <w:numId w:val="21"/>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5198BD88">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Resources and environments are regularly reviewed and aligned with Improvement Plans, safeguarding, and trauma-informed practices.</w:t>
            </w:r>
          </w:p>
          <w:p w:rsidR="5198BD88" w:rsidP="073B1456" w:rsidRDefault="5198BD88" w14:paraId="6A4725B6" w14:textId="0071F71B">
            <w:pPr>
              <w:pStyle w:val="ListParagraph"/>
              <w:numPr>
                <w:ilvl w:val="0"/>
                <w:numId w:val="21"/>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5198BD88">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Investment in resources is strategic, </w:t>
            </w:r>
            <w:r w:rsidRPr="073B1456" w:rsidR="5198BD88">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equitable</w:t>
            </w:r>
            <w:r w:rsidRPr="073B1456" w:rsidR="5198BD88">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and sustainable, with attention to reducing barriers and avoiding re-traumatization.</w:t>
            </w:r>
          </w:p>
          <w:p w:rsidR="5198BD88" w:rsidP="073B1456" w:rsidRDefault="5198BD88" w14:paraId="123E5D76" w14:textId="788C4224">
            <w:pPr>
              <w:pStyle w:val="ListParagraph"/>
              <w:numPr>
                <w:ilvl w:val="0"/>
                <w:numId w:val="21"/>
              </w:numPr>
              <w:spacing w:before="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073B1456" w:rsidR="5198BD88">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Pupil voice and lived experiences inform the shaping of environments and resources, ensuring they feel safe, respectful, and empowering.</w:t>
            </w:r>
          </w:p>
          <w:p w:rsidR="073B1456" w:rsidP="073B1456" w:rsidRDefault="073B1456" w14:paraId="07FB2453" w14:textId="75D85658">
            <w:pPr>
              <w:pStyle w:val="ListParagraph"/>
              <w:jc w:val="both"/>
              <w:rPr>
                <w:rFonts w:ascii="Calibri" w:hAnsi="Calibri" w:eastAsia="Calibri" w:cs="Calibri" w:asciiTheme="minorAscii" w:hAnsiTheme="minorAscii" w:eastAsiaTheme="minorAscii" w:cstheme="minorAscii"/>
                <w:color w:val="auto"/>
              </w:rPr>
            </w:pPr>
          </w:p>
          <w:p w:rsidRPr="0021017D" w:rsidR="00BB540C" w:rsidP="073B1456" w:rsidRDefault="00BB540C" w14:paraId="239350DA" w14:textId="34587346">
            <w:pPr>
              <w:pStyle w:val="ListParagraph"/>
              <w:ind w:left="0"/>
              <w:jc w:val="both"/>
              <w:rPr>
                <w:rFonts w:ascii="Calibri" w:hAnsi="Calibri" w:eastAsia="Calibri" w:cs="Calibri" w:asciiTheme="minorAscii" w:hAnsiTheme="minorAscii" w:eastAsiaTheme="minorAscii" w:cstheme="minorAscii"/>
                <w:color w:val="auto"/>
              </w:rPr>
            </w:pPr>
          </w:p>
          <w:p w:rsidRPr="0021017D" w:rsidR="00BB540C" w:rsidP="073B1456" w:rsidRDefault="00BB540C" w14:paraId="572A00C6" w14:textId="4CA00F77">
            <w:pPr>
              <w:pStyle w:val="ListParagraph"/>
              <w:ind w:left="0"/>
              <w:jc w:val="both"/>
              <w:rPr>
                <w:rFonts w:ascii="Calibri" w:hAnsi="Calibri" w:eastAsia="Calibri" w:cs="Calibri" w:asciiTheme="minorAscii" w:hAnsiTheme="minorAscii" w:eastAsiaTheme="minorAscii" w:cstheme="minorAscii"/>
                <w:color w:val="auto"/>
              </w:rPr>
            </w:pPr>
          </w:p>
          <w:p w:rsidRPr="0021017D" w:rsidR="00BB540C" w:rsidP="073B1456" w:rsidRDefault="00BB540C" w14:paraId="778F5DCF" w14:textId="20FA0BF7">
            <w:pPr>
              <w:pStyle w:val="ListParagraph"/>
              <w:ind w:left="0"/>
              <w:jc w:val="both"/>
              <w:rPr>
                <w:rFonts w:ascii="Calibri" w:hAnsi="Calibri" w:eastAsia="Calibri" w:cs="Calibri" w:asciiTheme="minorAscii" w:hAnsiTheme="minorAscii" w:eastAsiaTheme="minorAscii" w:cstheme="minorAscii"/>
                <w:color w:val="auto"/>
              </w:rPr>
            </w:pPr>
          </w:p>
        </w:tc>
      </w:tr>
      <w:tr w:rsidRPr="0021017D" w:rsidR="00BB540C" w:rsidTr="073B1456" w14:paraId="7077F953" w14:textId="77777777">
        <w:tc>
          <w:tcPr>
            <w:tcW w:w="9050" w:type="dxa"/>
            <w:tcMar/>
          </w:tcPr>
          <w:p w:rsidRPr="0021017D" w:rsidR="00BB540C" w:rsidP="00AF6830" w:rsidRDefault="00AF6830" w14:paraId="1EA664DB" w14:textId="6145CA3D">
            <w:pPr>
              <w:pStyle w:val="ListParagraph"/>
              <w:numPr>
                <w:ilvl w:val="0"/>
                <w:numId w:val="2"/>
              </w:numPr>
              <w:ind w:left="360"/>
              <w:jc w:val="both"/>
              <w:rPr>
                <w:b/>
              </w:rPr>
            </w:pPr>
            <w:r w:rsidRPr="00AF6830">
              <w:rPr>
                <w:b/>
              </w:rPr>
              <w:t>PARTNERSHIPS WITH FAMILIES AND COMMUNITIES</w:t>
            </w:r>
          </w:p>
        </w:tc>
      </w:tr>
      <w:tr w:rsidRPr="0021017D" w:rsidR="00BB540C" w:rsidTr="073B1456" w14:paraId="05FC680B" w14:textId="77777777">
        <w:tc>
          <w:tcPr>
            <w:tcW w:w="9050" w:type="dxa"/>
            <w:tcMar/>
          </w:tcPr>
          <w:p w:rsidR="00A04AE0" w:rsidP="00AF6830" w:rsidRDefault="00A04AE0" w14:paraId="2A292D38" w14:textId="65F09E9D">
            <w:pPr>
              <w:pStyle w:val="ListParagraph"/>
              <w:jc w:val="both"/>
            </w:pPr>
          </w:p>
          <w:p w:rsidR="00AF6830" w:rsidP="00AF6830" w:rsidRDefault="00A04AE0" w14:paraId="74183BDC" w14:textId="77777777">
            <w:pPr>
              <w:pStyle w:val="ListParagraph"/>
              <w:ind w:left="0"/>
              <w:jc w:val="both"/>
            </w:pPr>
            <w:r>
              <w:t>Communication and collaboration with families and the wider community are essential.</w:t>
            </w:r>
          </w:p>
          <w:p w:rsidR="00AF6830" w:rsidP="00AF6830" w:rsidRDefault="00AF6830" w14:paraId="5CC9B1C8" w14:textId="77777777">
            <w:pPr>
              <w:pStyle w:val="ListParagraph"/>
              <w:ind w:left="0"/>
              <w:jc w:val="both"/>
            </w:pPr>
          </w:p>
          <w:p w:rsidR="00AF6830" w:rsidP="00AF6830" w:rsidRDefault="00A04AE0" w14:paraId="5B865B41" w14:textId="77777777">
            <w:pPr>
              <w:pStyle w:val="ListParagraph"/>
              <w:ind w:left="0"/>
              <w:jc w:val="both"/>
            </w:pPr>
            <w:r>
              <w:t xml:space="preserve"> a) Regular, clear communication about progress, achievements, and supportive strategies.</w:t>
            </w:r>
          </w:p>
          <w:p w:rsidR="00AF6830" w:rsidP="00AF6830" w:rsidRDefault="00A04AE0" w14:paraId="3E91EB83" w14:textId="73ABBB76">
            <w:pPr>
              <w:pStyle w:val="ListParagraph"/>
              <w:ind w:left="0"/>
              <w:jc w:val="both"/>
            </w:pPr>
            <w:r w:rsidR="00A04AE0">
              <w:rPr/>
              <w:t xml:space="preserve"> b) Families are invited to formal reviews</w:t>
            </w:r>
            <w:r w:rsidR="29A04E28">
              <w:rPr/>
              <w:t>, such as Parents evening</w:t>
            </w:r>
            <w:r w:rsidR="00A04AE0">
              <w:rPr/>
              <w:t xml:space="preserve"> (at least annually) and engaged in ongoing learning conversations.</w:t>
            </w:r>
          </w:p>
          <w:p w:rsidR="00AF6830" w:rsidP="00AF6830" w:rsidRDefault="00A04AE0" w14:paraId="787E9CA8" w14:textId="77777777">
            <w:pPr>
              <w:pStyle w:val="ListParagraph"/>
              <w:ind w:left="0"/>
              <w:jc w:val="both"/>
            </w:pPr>
            <w:r>
              <w:t xml:space="preserve"> c) Pupils are aware of the collaborative approach between families and staff.</w:t>
            </w:r>
          </w:p>
          <w:p w:rsidR="00AF6830" w:rsidP="00AF6830" w:rsidRDefault="00A04AE0" w14:paraId="1873845C" w14:textId="77777777">
            <w:pPr>
              <w:pStyle w:val="ListParagraph"/>
              <w:ind w:left="0"/>
              <w:jc w:val="both"/>
            </w:pPr>
            <w:r>
              <w:t xml:space="preserve"> d) Opportunities for parents/carers to participate in workshops, training, and school events to support learning at home.</w:t>
            </w:r>
          </w:p>
          <w:p w:rsidR="00BB540C" w:rsidP="00AF6830" w:rsidRDefault="00A04AE0" w14:paraId="45A4E834" w14:textId="2C4CC6CD">
            <w:pPr>
              <w:pStyle w:val="ListParagraph"/>
              <w:ind w:left="0"/>
              <w:jc w:val="both"/>
            </w:pPr>
            <w:r>
              <w:t xml:space="preserve"> e) Strong links with community organisations, employers, and further education providers to extend opportunities and transition planning.</w:t>
            </w:r>
          </w:p>
          <w:p w:rsidR="00AF6830" w:rsidP="00AF6830" w:rsidRDefault="00AF6830" w14:paraId="787672DE" w14:textId="66715EE8">
            <w:pPr>
              <w:pStyle w:val="ListParagraph"/>
              <w:ind w:left="0"/>
              <w:jc w:val="both"/>
            </w:pPr>
          </w:p>
          <w:p w:rsidRPr="0021017D" w:rsidR="00BB540C" w:rsidP="00AF6830" w:rsidRDefault="00BB540C" w14:paraId="626CE0E4" w14:textId="77777777">
            <w:pPr>
              <w:pStyle w:val="ListParagraph"/>
              <w:ind w:left="0"/>
              <w:jc w:val="both"/>
            </w:pPr>
          </w:p>
        </w:tc>
      </w:tr>
      <w:tr w:rsidRPr="0021017D" w:rsidR="00BB540C" w:rsidTr="073B1456" w14:paraId="34477337" w14:textId="77777777">
        <w:tc>
          <w:tcPr>
            <w:tcW w:w="9050" w:type="dxa"/>
            <w:tcMar/>
          </w:tcPr>
          <w:p w:rsidRPr="0021017D" w:rsidR="00BB540C" w:rsidP="00AF6830" w:rsidRDefault="00AF6830" w14:paraId="3F301FF9" w14:textId="3118C39D">
            <w:pPr>
              <w:pStyle w:val="ListParagraph"/>
              <w:numPr>
                <w:ilvl w:val="0"/>
                <w:numId w:val="2"/>
              </w:numPr>
              <w:ind w:left="360"/>
              <w:jc w:val="both"/>
              <w:rPr>
                <w:b/>
              </w:rPr>
            </w:pPr>
            <w:r w:rsidRPr="00AF6830">
              <w:rPr>
                <w:b/>
              </w:rPr>
              <w:lastRenderedPageBreak/>
              <w:t>MONITORING AND EVALUATION</w:t>
            </w:r>
          </w:p>
        </w:tc>
      </w:tr>
      <w:tr w:rsidRPr="0021017D" w:rsidR="00BB540C" w:rsidTr="073B1456" w14:paraId="53267E1A" w14:textId="77777777">
        <w:tc>
          <w:tcPr>
            <w:tcW w:w="9050" w:type="dxa"/>
            <w:tcMar/>
          </w:tcPr>
          <w:p w:rsidR="00AF6830" w:rsidP="00AF6830" w:rsidRDefault="00AF6830" w14:paraId="3CBE011C" w14:textId="77777777">
            <w:pPr>
              <w:pStyle w:val="ListParagraph"/>
              <w:jc w:val="both"/>
            </w:pPr>
          </w:p>
          <w:p w:rsidR="00A04AE0" w:rsidP="00AF6830" w:rsidRDefault="00A04AE0" w14:paraId="76482461" w14:textId="602585C1">
            <w:pPr>
              <w:pStyle w:val="ListParagraph"/>
              <w:jc w:val="both"/>
            </w:pPr>
            <w:r w:rsidR="00A04AE0">
              <w:rPr/>
              <w:t xml:space="preserve">The quality of teaching and learning is regularly </w:t>
            </w:r>
            <w:r w:rsidR="00A04AE0">
              <w:rPr/>
              <w:t>monitored</w:t>
            </w:r>
            <w:r w:rsidR="00A04AE0">
              <w:rPr/>
              <w:t xml:space="preserve"> to ensure consistency, effectiveness, and continuous improvement. Evaluation uses multiple sources of evidence including:</w:t>
            </w:r>
          </w:p>
          <w:p w:rsidR="00A04AE0" w:rsidP="00AF6830" w:rsidRDefault="00A04AE0" w14:paraId="48A89559" w14:textId="77777777">
            <w:pPr>
              <w:pStyle w:val="ListParagraph"/>
              <w:jc w:val="both"/>
            </w:pPr>
          </w:p>
          <w:p w:rsidR="00A04AE0" w:rsidP="00AF6830" w:rsidRDefault="00A04AE0" w14:paraId="067657C5" w14:textId="77777777">
            <w:pPr>
              <w:pStyle w:val="ListParagraph"/>
              <w:jc w:val="both"/>
            </w:pPr>
            <w:r>
              <w:t>Lesson observations, learning walks, work scrutiny, and data analysis.</w:t>
            </w:r>
          </w:p>
          <w:p w:rsidR="00A04AE0" w:rsidP="00AF6830" w:rsidRDefault="00A04AE0" w14:paraId="0511CB48" w14:textId="77777777">
            <w:pPr>
              <w:pStyle w:val="ListParagraph"/>
              <w:jc w:val="both"/>
            </w:pPr>
            <w:r>
              <w:t>Pupil voice and parental feedback.</w:t>
            </w:r>
          </w:p>
          <w:p w:rsidR="00A04AE0" w:rsidP="00AF6830" w:rsidRDefault="00A04AE0" w14:paraId="16B02ACD" w14:textId="77777777">
            <w:pPr>
              <w:pStyle w:val="ListParagraph"/>
              <w:jc w:val="both"/>
            </w:pPr>
            <w:r>
              <w:t>Governor reports on teaching and learning standards, progress, and priorities.</w:t>
            </w:r>
          </w:p>
          <w:p w:rsidR="00A04AE0" w:rsidP="00AF6830" w:rsidRDefault="00A04AE0" w14:paraId="7F66C34D" w14:textId="77777777">
            <w:pPr>
              <w:pStyle w:val="ListParagraph"/>
              <w:jc w:val="both"/>
            </w:pPr>
            <w:r>
              <w:t>Annual policy review and updates to reflect statutory requirements and best practice.</w:t>
            </w:r>
          </w:p>
          <w:p w:rsidR="00AF6830" w:rsidP="00AF6830" w:rsidRDefault="00AF6830" w14:paraId="2F936285" w14:textId="77777777">
            <w:pPr>
              <w:pStyle w:val="ListParagraph"/>
              <w:jc w:val="both"/>
            </w:pPr>
          </w:p>
          <w:p w:rsidRPr="0021017D" w:rsidR="00BB540C" w:rsidP="00AF6830" w:rsidRDefault="00BB540C" w14:paraId="2D0926E9" w14:textId="77777777">
            <w:pPr>
              <w:pStyle w:val="ListParagraph"/>
              <w:ind w:left="0"/>
              <w:jc w:val="both"/>
            </w:pPr>
          </w:p>
        </w:tc>
      </w:tr>
      <w:tr w:rsidRPr="0021017D" w:rsidR="00BB540C" w:rsidTr="073B1456" w14:paraId="24F699FA" w14:textId="77777777">
        <w:tc>
          <w:tcPr>
            <w:tcW w:w="9050" w:type="dxa"/>
            <w:tcMar/>
          </w:tcPr>
          <w:p w:rsidRPr="0021017D" w:rsidR="00BB540C" w:rsidP="00AF6830" w:rsidRDefault="00AF6830" w14:paraId="06C093E6" w14:textId="52FE4877">
            <w:pPr>
              <w:pStyle w:val="ListParagraph"/>
              <w:numPr>
                <w:ilvl w:val="0"/>
                <w:numId w:val="2"/>
              </w:numPr>
              <w:ind w:left="360"/>
              <w:jc w:val="both"/>
              <w:rPr>
                <w:b/>
              </w:rPr>
            </w:pPr>
            <w:r w:rsidRPr="00AF6830">
              <w:rPr>
                <w:b/>
              </w:rPr>
              <w:t>EQUALITY IMPACT AND INCLUSION</w:t>
            </w:r>
          </w:p>
        </w:tc>
      </w:tr>
      <w:tr w:rsidRPr="0021017D" w:rsidR="00BB540C" w:rsidTr="073B1456" w14:paraId="4B458B40" w14:textId="77777777">
        <w:tc>
          <w:tcPr>
            <w:tcW w:w="9050" w:type="dxa"/>
            <w:tcMar/>
          </w:tcPr>
          <w:p w:rsidR="00BB540C" w:rsidP="00AF6830" w:rsidRDefault="00A04AE0" w14:paraId="237DC0DF" w14:textId="76CACBD7">
            <w:pPr>
              <w:pStyle w:val="ListParagraph"/>
              <w:ind w:left="0"/>
              <w:jc w:val="both"/>
            </w:pPr>
            <w:r w:rsidRPr="00A04AE0">
              <w:t>This policy recognises the protected characteristics and aims to remove barriers to learning for all pupils, ensuring equitable access to high-quality teaching and learning.</w:t>
            </w:r>
          </w:p>
          <w:p w:rsidRPr="0021017D" w:rsidR="00BB540C" w:rsidP="00AF6830" w:rsidRDefault="00BB540C" w14:paraId="2A5CF591" w14:textId="77777777">
            <w:pPr>
              <w:pStyle w:val="ListParagraph"/>
              <w:ind w:left="0"/>
              <w:jc w:val="both"/>
            </w:pPr>
          </w:p>
        </w:tc>
      </w:tr>
    </w:tbl>
    <w:p w:rsidR="00847CED" w:rsidP="00AF6830" w:rsidRDefault="00BB540C" w14:paraId="59B839FC" w14:textId="5CFAE459">
      <w:pPr>
        <w:jc w:val="both"/>
      </w:pPr>
      <w:r>
        <w:br w:type="page"/>
      </w:r>
    </w:p>
    <w:tbl>
      <w:tblPr>
        <w:tblStyle w:val="TableGrid"/>
        <w:tblW w:w="0" w:type="auto"/>
        <w:tblLook w:val="04A0" w:firstRow="1" w:lastRow="0" w:firstColumn="1" w:lastColumn="0" w:noHBand="0" w:noVBand="1"/>
      </w:tblPr>
      <w:tblGrid>
        <w:gridCol w:w="4132"/>
        <w:gridCol w:w="395"/>
        <w:gridCol w:w="4148"/>
        <w:gridCol w:w="341"/>
      </w:tblGrid>
      <w:tr w:rsidRPr="00847CED" w:rsidR="00847CED" w:rsidTr="00FE1B0D" w14:paraId="7CD976DD" w14:textId="77777777">
        <w:tc>
          <w:tcPr>
            <w:tcW w:w="9242" w:type="dxa"/>
            <w:gridSpan w:val="4"/>
            <w:shd w:val="clear" w:color="auto" w:fill="C6D9F1" w:themeFill="text2" w:themeFillTint="33"/>
          </w:tcPr>
          <w:p w:rsidRPr="00847CED" w:rsidR="00847CED" w:rsidP="00AF6830" w:rsidRDefault="00847CED" w14:paraId="0B9561E6" w14:textId="057E02A8">
            <w:pPr>
              <w:jc w:val="both"/>
              <w:rPr>
                <w:b/>
              </w:rPr>
            </w:pPr>
            <w:r w:rsidRPr="00847CED">
              <w:rPr>
                <w:b/>
              </w:rPr>
              <w:lastRenderedPageBreak/>
              <w:t>Contents Checklist</w:t>
            </w:r>
            <w:r>
              <w:rPr>
                <w:b/>
              </w:rPr>
              <w:t xml:space="preserve"> </w:t>
            </w:r>
            <w:r w:rsidRPr="00847CED">
              <w:t>(Local S</w:t>
            </w:r>
            <w:r w:rsidR="00C57383">
              <w:t>ervice</w:t>
            </w:r>
            <w:r w:rsidRPr="00847CED">
              <w:t>s may add additional items – this is a core list)</w:t>
            </w:r>
          </w:p>
        </w:tc>
      </w:tr>
      <w:tr w:rsidR="00847CED" w:rsidTr="00847CED" w14:paraId="5794A3A0" w14:textId="77777777">
        <w:tc>
          <w:tcPr>
            <w:tcW w:w="4219" w:type="dxa"/>
          </w:tcPr>
          <w:p w:rsidR="00847CED" w:rsidP="00AF6830" w:rsidRDefault="00B957E3" w14:paraId="3DB1F2F9" w14:textId="77777777">
            <w:pPr>
              <w:jc w:val="both"/>
            </w:pPr>
            <w:r>
              <w:t>Teaching and learning aims and principles linked to school aims</w:t>
            </w:r>
          </w:p>
        </w:tc>
        <w:tc>
          <w:tcPr>
            <w:tcW w:w="401" w:type="dxa"/>
          </w:tcPr>
          <w:p w:rsidR="00847CED" w:rsidP="00AF6830" w:rsidRDefault="00847CED" w14:paraId="6EC30981" w14:textId="77777777">
            <w:pPr>
              <w:jc w:val="both"/>
            </w:pPr>
          </w:p>
        </w:tc>
        <w:tc>
          <w:tcPr>
            <w:tcW w:w="4277" w:type="dxa"/>
          </w:tcPr>
          <w:p w:rsidR="00847CED" w:rsidP="00AF6830" w:rsidRDefault="00847CED" w14:paraId="4B508BE7" w14:textId="77777777">
            <w:pPr>
              <w:jc w:val="both"/>
            </w:pPr>
          </w:p>
        </w:tc>
        <w:tc>
          <w:tcPr>
            <w:tcW w:w="345" w:type="dxa"/>
          </w:tcPr>
          <w:p w:rsidR="00847CED" w:rsidP="00AF6830" w:rsidRDefault="00847CED" w14:paraId="6C140870" w14:textId="77777777">
            <w:pPr>
              <w:jc w:val="both"/>
            </w:pPr>
          </w:p>
        </w:tc>
      </w:tr>
      <w:tr w:rsidR="00847CED" w:rsidTr="00847CED" w14:paraId="1DFD682A" w14:textId="77777777">
        <w:tc>
          <w:tcPr>
            <w:tcW w:w="4219" w:type="dxa"/>
          </w:tcPr>
          <w:p w:rsidR="00847CED" w:rsidP="00AF6830" w:rsidRDefault="00B957E3" w14:paraId="7C56238A" w14:textId="77777777">
            <w:pPr>
              <w:jc w:val="both"/>
            </w:pPr>
            <w:r>
              <w:t>Teaching and learning – specifically tailored to your cohort.</w:t>
            </w:r>
          </w:p>
        </w:tc>
        <w:tc>
          <w:tcPr>
            <w:tcW w:w="401" w:type="dxa"/>
          </w:tcPr>
          <w:p w:rsidR="00847CED" w:rsidP="00AF6830" w:rsidRDefault="00847CED" w14:paraId="0F9E4CFD" w14:textId="77777777">
            <w:pPr>
              <w:jc w:val="both"/>
            </w:pPr>
          </w:p>
        </w:tc>
        <w:tc>
          <w:tcPr>
            <w:tcW w:w="4277" w:type="dxa"/>
          </w:tcPr>
          <w:p w:rsidR="00847CED" w:rsidP="00AF6830" w:rsidRDefault="00847CED" w14:paraId="46FC3018" w14:textId="77777777">
            <w:pPr>
              <w:jc w:val="both"/>
            </w:pPr>
          </w:p>
        </w:tc>
        <w:tc>
          <w:tcPr>
            <w:tcW w:w="345" w:type="dxa"/>
          </w:tcPr>
          <w:p w:rsidR="00847CED" w:rsidP="00AF6830" w:rsidRDefault="00847CED" w14:paraId="53CDECAC" w14:textId="77777777">
            <w:pPr>
              <w:jc w:val="both"/>
            </w:pPr>
          </w:p>
        </w:tc>
      </w:tr>
      <w:tr w:rsidR="00847CED" w:rsidTr="00847CED" w14:paraId="33446CCE" w14:textId="77777777">
        <w:tc>
          <w:tcPr>
            <w:tcW w:w="4219" w:type="dxa"/>
          </w:tcPr>
          <w:p w:rsidR="00847CED" w:rsidP="00AF6830" w:rsidRDefault="00B957E3" w14:paraId="1D91D965" w14:textId="77777777">
            <w:pPr>
              <w:jc w:val="both"/>
            </w:pPr>
            <w:r>
              <w:t>Local strategies used</w:t>
            </w:r>
          </w:p>
        </w:tc>
        <w:tc>
          <w:tcPr>
            <w:tcW w:w="401" w:type="dxa"/>
          </w:tcPr>
          <w:p w:rsidR="00847CED" w:rsidP="00AF6830" w:rsidRDefault="00847CED" w14:paraId="7F4DABC3" w14:textId="77777777">
            <w:pPr>
              <w:jc w:val="both"/>
            </w:pPr>
          </w:p>
        </w:tc>
        <w:tc>
          <w:tcPr>
            <w:tcW w:w="4277" w:type="dxa"/>
          </w:tcPr>
          <w:p w:rsidR="00847CED" w:rsidP="00AF6830" w:rsidRDefault="00847CED" w14:paraId="61C36142" w14:textId="77777777">
            <w:pPr>
              <w:jc w:val="both"/>
            </w:pPr>
          </w:p>
        </w:tc>
        <w:tc>
          <w:tcPr>
            <w:tcW w:w="345" w:type="dxa"/>
          </w:tcPr>
          <w:p w:rsidR="00847CED" w:rsidP="00AF6830" w:rsidRDefault="00847CED" w14:paraId="1F76FFEA" w14:textId="77777777">
            <w:pPr>
              <w:jc w:val="both"/>
            </w:pPr>
          </w:p>
        </w:tc>
      </w:tr>
      <w:tr w:rsidR="00847CED" w:rsidTr="00847CED" w14:paraId="76536128" w14:textId="77777777">
        <w:tc>
          <w:tcPr>
            <w:tcW w:w="4219" w:type="dxa"/>
          </w:tcPr>
          <w:p w:rsidR="00847CED" w:rsidP="00AF6830" w:rsidRDefault="00B957E3" w14:paraId="630EE889" w14:textId="4C0F7861">
            <w:pPr>
              <w:jc w:val="both"/>
            </w:pPr>
            <w:r>
              <w:t>How are the following taught in your setting: RE, PSHE and Citizenship, British Values, SMSC</w:t>
            </w:r>
            <w:r w:rsidR="004762D5">
              <w:t>, and Careers</w:t>
            </w:r>
          </w:p>
        </w:tc>
        <w:tc>
          <w:tcPr>
            <w:tcW w:w="401" w:type="dxa"/>
          </w:tcPr>
          <w:p w:rsidR="00847CED" w:rsidP="00AF6830" w:rsidRDefault="00847CED" w14:paraId="4DFBB778" w14:textId="77777777">
            <w:pPr>
              <w:jc w:val="both"/>
            </w:pPr>
          </w:p>
        </w:tc>
        <w:tc>
          <w:tcPr>
            <w:tcW w:w="4277" w:type="dxa"/>
          </w:tcPr>
          <w:p w:rsidR="00847CED" w:rsidP="00AF6830" w:rsidRDefault="00847CED" w14:paraId="4CBA5F6B" w14:textId="77777777">
            <w:pPr>
              <w:jc w:val="both"/>
            </w:pPr>
          </w:p>
        </w:tc>
        <w:tc>
          <w:tcPr>
            <w:tcW w:w="345" w:type="dxa"/>
          </w:tcPr>
          <w:p w:rsidR="00847CED" w:rsidP="00AF6830" w:rsidRDefault="00847CED" w14:paraId="24EB6A22" w14:textId="77777777">
            <w:pPr>
              <w:jc w:val="both"/>
            </w:pPr>
          </w:p>
        </w:tc>
      </w:tr>
      <w:tr w:rsidR="00847CED" w:rsidTr="00847CED" w14:paraId="35108A06" w14:textId="77777777">
        <w:tc>
          <w:tcPr>
            <w:tcW w:w="4219" w:type="dxa"/>
          </w:tcPr>
          <w:p w:rsidR="00847CED" w:rsidP="00AF6830" w:rsidRDefault="00B957E3" w14:paraId="77C32E51" w14:textId="77777777">
            <w:pPr>
              <w:jc w:val="both"/>
            </w:pPr>
            <w:r>
              <w:t>Overview of assessment (detail in the AfL procedure)</w:t>
            </w:r>
          </w:p>
        </w:tc>
        <w:tc>
          <w:tcPr>
            <w:tcW w:w="401" w:type="dxa"/>
          </w:tcPr>
          <w:p w:rsidR="00847CED" w:rsidP="00AF6830" w:rsidRDefault="00847CED" w14:paraId="15D4E41F" w14:textId="77777777">
            <w:pPr>
              <w:jc w:val="both"/>
            </w:pPr>
          </w:p>
        </w:tc>
        <w:tc>
          <w:tcPr>
            <w:tcW w:w="4277" w:type="dxa"/>
          </w:tcPr>
          <w:p w:rsidR="00847CED" w:rsidP="00AF6830" w:rsidRDefault="00847CED" w14:paraId="23403522" w14:textId="77777777">
            <w:pPr>
              <w:jc w:val="both"/>
            </w:pPr>
          </w:p>
        </w:tc>
        <w:tc>
          <w:tcPr>
            <w:tcW w:w="345" w:type="dxa"/>
          </w:tcPr>
          <w:p w:rsidR="00847CED" w:rsidP="00AF6830" w:rsidRDefault="00847CED" w14:paraId="714311D8" w14:textId="77777777">
            <w:pPr>
              <w:jc w:val="both"/>
            </w:pPr>
          </w:p>
        </w:tc>
      </w:tr>
      <w:tr w:rsidR="00B957E3" w:rsidTr="00847CED" w14:paraId="0CFEAAAB" w14:textId="77777777">
        <w:tc>
          <w:tcPr>
            <w:tcW w:w="4219" w:type="dxa"/>
          </w:tcPr>
          <w:p w:rsidR="00B957E3" w:rsidP="00AF6830" w:rsidRDefault="00B957E3" w14:paraId="568BDA13" w14:textId="77777777">
            <w:pPr>
              <w:jc w:val="both"/>
            </w:pPr>
            <w:r>
              <w:t>Overview of resources</w:t>
            </w:r>
          </w:p>
        </w:tc>
        <w:tc>
          <w:tcPr>
            <w:tcW w:w="401" w:type="dxa"/>
          </w:tcPr>
          <w:p w:rsidR="00B957E3" w:rsidP="00AF6830" w:rsidRDefault="00B957E3" w14:paraId="4E39F932" w14:textId="77777777">
            <w:pPr>
              <w:jc w:val="both"/>
            </w:pPr>
          </w:p>
        </w:tc>
        <w:tc>
          <w:tcPr>
            <w:tcW w:w="4277" w:type="dxa"/>
          </w:tcPr>
          <w:p w:rsidR="00B957E3" w:rsidP="00AF6830" w:rsidRDefault="00B957E3" w14:paraId="2119DB64" w14:textId="77777777">
            <w:pPr>
              <w:jc w:val="both"/>
            </w:pPr>
          </w:p>
        </w:tc>
        <w:tc>
          <w:tcPr>
            <w:tcW w:w="345" w:type="dxa"/>
          </w:tcPr>
          <w:p w:rsidR="00B957E3" w:rsidP="00AF6830" w:rsidRDefault="00B957E3" w14:paraId="78025834" w14:textId="77777777">
            <w:pPr>
              <w:jc w:val="both"/>
            </w:pPr>
          </w:p>
        </w:tc>
      </w:tr>
      <w:tr w:rsidR="00847CED" w:rsidTr="00847CED" w14:paraId="0333D619" w14:textId="77777777">
        <w:tc>
          <w:tcPr>
            <w:tcW w:w="4219" w:type="dxa"/>
          </w:tcPr>
          <w:p w:rsidR="00847CED" w:rsidP="00AF6830" w:rsidRDefault="00B957E3" w14:paraId="20E62BA1" w14:textId="77777777">
            <w:pPr>
              <w:jc w:val="both"/>
            </w:pPr>
            <w:r>
              <w:t>Expectations of students</w:t>
            </w:r>
          </w:p>
        </w:tc>
        <w:tc>
          <w:tcPr>
            <w:tcW w:w="401" w:type="dxa"/>
          </w:tcPr>
          <w:p w:rsidR="00847CED" w:rsidP="00AF6830" w:rsidRDefault="00847CED" w14:paraId="39247A3C" w14:textId="77777777">
            <w:pPr>
              <w:jc w:val="both"/>
            </w:pPr>
          </w:p>
        </w:tc>
        <w:tc>
          <w:tcPr>
            <w:tcW w:w="4277" w:type="dxa"/>
          </w:tcPr>
          <w:p w:rsidR="00847CED" w:rsidP="00AF6830" w:rsidRDefault="00847CED" w14:paraId="477212DC" w14:textId="77777777">
            <w:pPr>
              <w:jc w:val="both"/>
            </w:pPr>
          </w:p>
        </w:tc>
        <w:tc>
          <w:tcPr>
            <w:tcW w:w="345" w:type="dxa"/>
          </w:tcPr>
          <w:p w:rsidR="00847CED" w:rsidP="00AF6830" w:rsidRDefault="00847CED" w14:paraId="7E4A4B33" w14:textId="77777777">
            <w:pPr>
              <w:jc w:val="both"/>
            </w:pPr>
          </w:p>
        </w:tc>
      </w:tr>
      <w:tr w:rsidR="00847CED" w:rsidTr="00847CED" w14:paraId="6E61C9FE" w14:textId="77777777">
        <w:tc>
          <w:tcPr>
            <w:tcW w:w="4219" w:type="dxa"/>
          </w:tcPr>
          <w:p w:rsidR="00847CED" w:rsidP="00AF6830" w:rsidRDefault="00B957E3" w14:paraId="76A92637" w14:textId="77777777">
            <w:pPr>
              <w:jc w:val="both"/>
            </w:pPr>
            <w:r>
              <w:t>Reporting and partnership with parent/carers</w:t>
            </w:r>
          </w:p>
        </w:tc>
        <w:tc>
          <w:tcPr>
            <w:tcW w:w="401" w:type="dxa"/>
          </w:tcPr>
          <w:p w:rsidR="00847CED" w:rsidP="00AF6830" w:rsidRDefault="00847CED" w14:paraId="522C0178" w14:textId="77777777">
            <w:pPr>
              <w:jc w:val="both"/>
            </w:pPr>
          </w:p>
        </w:tc>
        <w:tc>
          <w:tcPr>
            <w:tcW w:w="4277" w:type="dxa"/>
          </w:tcPr>
          <w:p w:rsidR="00847CED" w:rsidP="00AF6830" w:rsidRDefault="00847CED" w14:paraId="7D414250" w14:textId="77777777">
            <w:pPr>
              <w:jc w:val="both"/>
            </w:pPr>
          </w:p>
        </w:tc>
        <w:tc>
          <w:tcPr>
            <w:tcW w:w="345" w:type="dxa"/>
          </w:tcPr>
          <w:p w:rsidR="00847CED" w:rsidP="00AF6830" w:rsidRDefault="00847CED" w14:paraId="4B9A0294" w14:textId="77777777">
            <w:pPr>
              <w:jc w:val="both"/>
            </w:pPr>
          </w:p>
        </w:tc>
      </w:tr>
      <w:tr w:rsidR="00B957E3" w:rsidTr="00847CED" w14:paraId="7DB9EB6D" w14:textId="77777777">
        <w:tc>
          <w:tcPr>
            <w:tcW w:w="4219" w:type="dxa"/>
          </w:tcPr>
          <w:p w:rsidR="00B957E3" w:rsidP="00AF6830" w:rsidRDefault="00B957E3" w14:paraId="388F1A7F" w14:textId="77777777">
            <w:pPr>
              <w:jc w:val="both"/>
            </w:pPr>
            <w:r>
              <w:t xml:space="preserve">Celebration of achievement </w:t>
            </w:r>
          </w:p>
        </w:tc>
        <w:tc>
          <w:tcPr>
            <w:tcW w:w="401" w:type="dxa"/>
          </w:tcPr>
          <w:p w:rsidR="00B957E3" w:rsidP="00AF6830" w:rsidRDefault="00B957E3" w14:paraId="64F8527A" w14:textId="77777777">
            <w:pPr>
              <w:jc w:val="both"/>
            </w:pPr>
          </w:p>
        </w:tc>
        <w:tc>
          <w:tcPr>
            <w:tcW w:w="4277" w:type="dxa"/>
          </w:tcPr>
          <w:p w:rsidR="00B957E3" w:rsidP="00AF6830" w:rsidRDefault="00B957E3" w14:paraId="2580F215" w14:textId="77777777">
            <w:pPr>
              <w:jc w:val="both"/>
            </w:pPr>
          </w:p>
        </w:tc>
        <w:tc>
          <w:tcPr>
            <w:tcW w:w="345" w:type="dxa"/>
          </w:tcPr>
          <w:p w:rsidR="00B957E3" w:rsidP="00AF6830" w:rsidRDefault="00B957E3" w14:paraId="5ED3C859" w14:textId="77777777">
            <w:pPr>
              <w:jc w:val="both"/>
            </w:pPr>
          </w:p>
        </w:tc>
      </w:tr>
    </w:tbl>
    <w:p w:rsidR="00FE1B0D" w:rsidP="00AF6830" w:rsidRDefault="00FE1B0D" w14:paraId="1ADC1166" w14:textId="77777777">
      <w:pPr>
        <w:jc w:val="both"/>
      </w:pPr>
    </w:p>
    <w:p w:rsidRPr="00FE1B0D" w:rsidR="00B95182" w:rsidP="00AF6830" w:rsidRDefault="00FE1B0D" w14:paraId="07943872" w14:textId="77777777">
      <w:pPr>
        <w:jc w:val="both"/>
        <w:rPr>
          <w:b/>
        </w:rPr>
      </w:pPr>
      <w:r w:rsidRPr="00FE1B0D">
        <w:rPr>
          <w:b/>
        </w:rPr>
        <w:t xml:space="preserve">Local Procedure </w:t>
      </w:r>
      <w:r w:rsidRPr="00FE1B0D" w:rsidR="00ED27F4">
        <w:rPr>
          <w:b/>
        </w:rPr>
        <w:t>Review History</w:t>
      </w:r>
      <w:r w:rsidRPr="00FE1B0D">
        <w:rPr>
          <w:b/>
        </w:rPr>
        <w:t>:</w:t>
      </w:r>
    </w:p>
    <w:tbl>
      <w:tblPr>
        <w:tblStyle w:val="TableGrid"/>
        <w:tblW w:w="0" w:type="auto"/>
        <w:tblLook w:val="04A0" w:firstRow="1" w:lastRow="0" w:firstColumn="1" w:lastColumn="0" w:noHBand="0" w:noVBand="1"/>
      </w:tblPr>
      <w:tblGrid>
        <w:gridCol w:w="3005"/>
        <w:gridCol w:w="3005"/>
        <w:gridCol w:w="3006"/>
      </w:tblGrid>
      <w:tr w:rsidR="00FE1B0D" w:rsidTr="00FE1B0D" w14:paraId="49075929" w14:textId="77777777">
        <w:tc>
          <w:tcPr>
            <w:tcW w:w="3080" w:type="dxa"/>
            <w:shd w:val="clear" w:color="auto" w:fill="C6D9F1" w:themeFill="text2" w:themeFillTint="33"/>
          </w:tcPr>
          <w:p w:rsidRPr="00FE1B0D" w:rsidR="00FE1B0D" w:rsidP="00AF6830" w:rsidRDefault="00FE1B0D" w14:paraId="5C461E57" w14:textId="77777777">
            <w:pPr>
              <w:jc w:val="both"/>
              <w:rPr>
                <w:b/>
              </w:rPr>
            </w:pPr>
            <w:r w:rsidRPr="00FE1B0D">
              <w:rPr>
                <w:b/>
              </w:rPr>
              <w:t>Date Reviewed</w:t>
            </w:r>
          </w:p>
        </w:tc>
        <w:tc>
          <w:tcPr>
            <w:tcW w:w="3081" w:type="dxa"/>
            <w:shd w:val="clear" w:color="auto" w:fill="C6D9F1" w:themeFill="text2" w:themeFillTint="33"/>
          </w:tcPr>
          <w:p w:rsidRPr="00FE1B0D" w:rsidR="00FE1B0D" w:rsidP="00AF6830" w:rsidRDefault="00FE1B0D" w14:paraId="0906E0E7" w14:textId="77777777">
            <w:pPr>
              <w:jc w:val="both"/>
              <w:rPr>
                <w:b/>
              </w:rPr>
            </w:pPr>
            <w:r w:rsidRPr="00FE1B0D">
              <w:rPr>
                <w:b/>
              </w:rPr>
              <w:t xml:space="preserve">Reviewer </w:t>
            </w:r>
          </w:p>
        </w:tc>
        <w:tc>
          <w:tcPr>
            <w:tcW w:w="3081" w:type="dxa"/>
            <w:shd w:val="clear" w:color="auto" w:fill="C6D9F1" w:themeFill="text2" w:themeFillTint="33"/>
          </w:tcPr>
          <w:p w:rsidRPr="00FE1B0D" w:rsidR="00FE1B0D" w:rsidP="00AF6830" w:rsidRDefault="00FE1B0D" w14:paraId="67EEA39B" w14:textId="77777777">
            <w:pPr>
              <w:jc w:val="both"/>
              <w:rPr>
                <w:b/>
              </w:rPr>
            </w:pPr>
            <w:r w:rsidRPr="00FE1B0D">
              <w:rPr>
                <w:b/>
              </w:rPr>
              <w:t>Summary of revisions</w:t>
            </w:r>
          </w:p>
        </w:tc>
      </w:tr>
      <w:tr w:rsidR="00FE1B0D" w:rsidTr="00FE1B0D" w14:paraId="0DC244CD" w14:textId="77777777">
        <w:tc>
          <w:tcPr>
            <w:tcW w:w="3080" w:type="dxa"/>
          </w:tcPr>
          <w:p w:rsidR="00FE1B0D" w:rsidP="00AF6830" w:rsidRDefault="00FE1B0D" w14:paraId="39F44A4B" w14:textId="77777777">
            <w:pPr>
              <w:jc w:val="both"/>
            </w:pPr>
          </w:p>
        </w:tc>
        <w:tc>
          <w:tcPr>
            <w:tcW w:w="3081" w:type="dxa"/>
          </w:tcPr>
          <w:p w:rsidR="00FE1B0D" w:rsidP="00AF6830" w:rsidRDefault="00FE1B0D" w14:paraId="6BD2F543" w14:textId="77777777">
            <w:pPr>
              <w:jc w:val="both"/>
            </w:pPr>
          </w:p>
        </w:tc>
        <w:tc>
          <w:tcPr>
            <w:tcW w:w="3081" w:type="dxa"/>
          </w:tcPr>
          <w:p w:rsidR="00FE1B0D" w:rsidP="00AF6830" w:rsidRDefault="00FE1B0D" w14:paraId="1717F943" w14:textId="77777777">
            <w:pPr>
              <w:jc w:val="both"/>
            </w:pPr>
          </w:p>
        </w:tc>
      </w:tr>
      <w:tr w:rsidR="00FE1B0D" w:rsidTr="00FE1B0D" w14:paraId="0FBEAAC2" w14:textId="77777777">
        <w:tc>
          <w:tcPr>
            <w:tcW w:w="3080" w:type="dxa"/>
          </w:tcPr>
          <w:p w:rsidR="00FE1B0D" w:rsidP="00AF6830" w:rsidRDefault="00FE1B0D" w14:paraId="70D62E8F" w14:textId="77777777">
            <w:pPr>
              <w:jc w:val="both"/>
            </w:pPr>
          </w:p>
        </w:tc>
        <w:tc>
          <w:tcPr>
            <w:tcW w:w="3081" w:type="dxa"/>
          </w:tcPr>
          <w:p w:rsidR="00FE1B0D" w:rsidP="00AF6830" w:rsidRDefault="00FE1B0D" w14:paraId="63C505BB" w14:textId="77777777">
            <w:pPr>
              <w:jc w:val="both"/>
            </w:pPr>
          </w:p>
        </w:tc>
        <w:tc>
          <w:tcPr>
            <w:tcW w:w="3081" w:type="dxa"/>
          </w:tcPr>
          <w:p w:rsidR="00FE1B0D" w:rsidP="00AF6830" w:rsidRDefault="00FE1B0D" w14:paraId="1879B26C" w14:textId="77777777">
            <w:pPr>
              <w:jc w:val="both"/>
            </w:pPr>
          </w:p>
        </w:tc>
      </w:tr>
      <w:tr w:rsidR="00FE1B0D" w:rsidTr="00FE1B0D" w14:paraId="0933C441" w14:textId="77777777">
        <w:tc>
          <w:tcPr>
            <w:tcW w:w="3080" w:type="dxa"/>
          </w:tcPr>
          <w:p w:rsidR="00FE1B0D" w:rsidP="00AF6830" w:rsidRDefault="00FE1B0D" w14:paraId="20A99FEE" w14:textId="77777777">
            <w:pPr>
              <w:jc w:val="both"/>
            </w:pPr>
          </w:p>
        </w:tc>
        <w:tc>
          <w:tcPr>
            <w:tcW w:w="3081" w:type="dxa"/>
          </w:tcPr>
          <w:p w:rsidR="00FE1B0D" w:rsidP="00AF6830" w:rsidRDefault="00FE1B0D" w14:paraId="266943EE" w14:textId="77777777">
            <w:pPr>
              <w:jc w:val="both"/>
            </w:pPr>
          </w:p>
        </w:tc>
        <w:tc>
          <w:tcPr>
            <w:tcW w:w="3081" w:type="dxa"/>
          </w:tcPr>
          <w:p w:rsidR="00FE1B0D" w:rsidP="00AF6830" w:rsidRDefault="00FE1B0D" w14:paraId="2F5FCC77" w14:textId="77777777">
            <w:pPr>
              <w:jc w:val="both"/>
            </w:pPr>
          </w:p>
        </w:tc>
      </w:tr>
      <w:tr w:rsidR="00FE1B0D" w:rsidTr="00FE1B0D" w14:paraId="3A64C7E4" w14:textId="77777777">
        <w:tc>
          <w:tcPr>
            <w:tcW w:w="3080" w:type="dxa"/>
          </w:tcPr>
          <w:p w:rsidR="00FE1B0D" w:rsidP="00AF6830" w:rsidRDefault="00FE1B0D" w14:paraId="21FCAEFB" w14:textId="77777777">
            <w:pPr>
              <w:jc w:val="both"/>
            </w:pPr>
          </w:p>
        </w:tc>
        <w:tc>
          <w:tcPr>
            <w:tcW w:w="3081" w:type="dxa"/>
          </w:tcPr>
          <w:p w:rsidR="00FE1B0D" w:rsidP="00AF6830" w:rsidRDefault="00FE1B0D" w14:paraId="75D1A3F4" w14:textId="77777777">
            <w:pPr>
              <w:jc w:val="both"/>
            </w:pPr>
          </w:p>
        </w:tc>
        <w:tc>
          <w:tcPr>
            <w:tcW w:w="3081" w:type="dxa"/>
          </w:tcPr>
          <w:p w:rsidR="00FE1B0D" w:rsidP="00AF6830" w:rsidRDefault="00FE1B0D" w14:paraId="068BC081" w14:textId="77777777">
            <w:pPr>
              <w:jc w:val="both"/>
            </w:pPr>
          </w:p>
        </w:tc>
      </w:tr>
      <w:tr w:rsidR="00FE1B0D" w:rsidTr="00FE1B0D" w14:paraId="0FD1D284" w14:textId="77777777">
        <w:tc>
          <w:tcPr>
            <w:tcW w:w="3080" w:type="dxa"/>
          </w:tcPr>
          <w:p w:rsidR="00FE1B0D" w:rsidP="00AF6830" w:rsidRDefault="00FE1B0D" w14:paraId="4755440E" w14:textId="77777777">
            <w:pPr>
              <w:jc w:val="both"/>
            </w:pPr>
          </w:p>
        </w:tc>
        <w:tc>
          <w:tcPr>
            <w:tcW w:w="3081" w:type="dxa"/>
          </w:tcPr>
          <w:p w:rsidR="00FE1B0D" w:rsidP="00AF6830" w:rsidRDefault="00FE1B0D" w14:paraId="2D2098D7" w14:textId="77777777">
            <w:pPr>
              <w:jc w:val="both"/>
            </w:pPr>
          </w:p>
        </w:tc>
        <w:tc>
          <w:tcPr>
            <w:tcW w:w="3081" w:type="dxa"/>
          </w:tcPr>
          <w:p w:rsidR="00FE1B0D" w:rsidP="00AF6830" w:rsidRDefault="00FE1B0D" w14:paraId="56943C15" w14:textId="77777777">
            <w:pPr>
              <w:jc w:val="both"/>
            </w:pPr>
          </w:p>
        </w:tc>
      </w:tr>
      <w:tr w:rsidR="00FE1B0D" w:rsidTr="00FE1B0D" w14:paraId="4D8AA839" w14:textId="77777777">
        <w:tc>
          <w:tcPr>
            <w:tcW w:w="3080" w:type="dxa"/>
          </w:tcPr>
          <w:p w:rsidR="00FE1B0D" w:rsidP="00AF6830" w:rsidRDefault="00FE1B0D" w14:paraId="7F85C01B" w14:textId="77777777">
            <w:pPr>
              <w:jc w:val="both"/>
            </w:pPr>
          </w:p>
        </w:tc>
        <w:tc>
          <w:tcPr>
            <w:tcW w:w="3081" w:type="dxa"/>
          </w:tcPr>
          <w:p w:rsidR="00FE1B0D" w:rsidP="00AF6830" w:rsidRDefault="00FE1B0D" w14:paraId="4927C7D1" w14:textId="77777777">
            <w:pPr>
              <w:jc w:val="both"/>
            </w:pPr>
          </w:p>
        </w:tc>
        <w:tc>
          <w:tcPr>
            <w:tcW w:w="3081" w:type="dxa"/>
          </w:tcPr>
          <w:p w:rsidR="00FE1B0D" w:rsidP="00AF6830" w:rsidRDefault="00FE1B0D" w14:paraId="16296815" w14:textId="77777777">
            <w:pPr>
              <w:jc w:val="both"/>
            </w:pPr>
          </w:p>
        </w:tc>
      </w:tr>
      <w:tr w:rsidR="00FE1B0D" w:rsidTr="00FE1B0D" w14:paraId="63E39ECB" w14:textId="77777777">
        <w:tc>
          <w:tcPr>
            <w:tcW w:w="3080" w:type="dxa"/>
          </w:tcPr>
          <w:p w:rsidR="00FE1B0D" w:rsidP="00AF6830" w:rsidRDefault="00FE1B0D" w14:paraId="5B646E31" w14:textId="77777777">
            <w:pPr>
              <w:jc w:val="both"/>
            </w:pPr>
          </w:p>
        </w:tc>
        <w:tc>
          <w:tcPr>
            <w:tcW w:w="3081" w:type="dxa"/>
          </w:tcPr>
          <w:p w:rsidR="00FE1B0D" w:rsidP="00AF6830" w:rsidRDefault="00FE1B0D" w14:paraId="36E445B0" w14:textId="77777777">
            <w:pPr>
              <w:jc w:val="both"/>
            </w:pPr>
          </w:p>
        </w:tc>
        <w:tc>
          <w:tcPr>
            <w:tcW w:w="3081" w:type="dxa"/>
          </w:tcPr>
          <w:p w:rsidR="00FE1B0D" w:rsidP="00AF6830" w:rsidRDefault="00FE1B0D" w14:paraId="6E523C63" w14:textId="77777777">
            <w:pPr>
              <w:jc w:val="both"/>
            </w:pPr>
          </w:p>
        </w:tc>
      </w:tr>
    </w:tbl>
    <w:p w:rsidRPr="00FE1B0D" w:rsidR="00FE1B0D" w:rsidP="00AF6830" w:rsidRDefault="00FE1B0D" w14:paraId="2E4FC344" w14:textId="77777777">
      <w:pPr>
        <w:jc w:val="both"/>
      </w:pPr>
    </w:p>
    <w:sectPr w:rsidRPr="00FE1B0D" w:rsidR="00FE1B0D" w:rsidSect="00215584">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2E2F" w:rsidP="00714039" w:rsidRDefault="00042E2F" w14:paraId="6ED54178" w14:textId="77777777">
      <w:pPr>
        <w:spacing w:after="0" w:line="240" w:lineRule="auto"/>
      </w:pPr>
      <w:r>
        <w:separator/>
      </w:r>
    </w:p>
  </w:endnote>
  <w:endnote w:type="continuationSeparator" w:id="0">
    <w:p w:rsidR="00042E2F" w:rsidP="00714039" w:rsidRDefault="00042E2F" w14:paraId="063D87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0F0F" w:rsidR="00BB540C" w:rsidP="00BB540C" w:rsidRDefault="00BB540C" w14:paraId="078FF1C9" w14:textId="2A99AF0D">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8C7B7F">
      <w:rPr>
        <w:rFonts w:ascii="Tahoma" w:hAnsi="Tahoma" w:cs="Tahoma"/>
        <w:sz w:val="16"/>
        <w:szCs w:val="16"/>
      </w:rPr>
      <w:t xml:space="preserve">Aspris </w:t>
    </w:r>
    <w:r w:rsidRPr="004C0F0F">
      <w:rPr>
        <w:rFonts w:ascii="Tahoma" w:hAnsi="Tahoma" w:cs="Tahoma"/>
        <w:sz w:val="16"/>
        <w:szCs w:val="16"/>
      </w:rPr>
      <w:t xml:space="preserve">–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8C7B7F">
      <w:rPr>
        <w:rFonts w:ascii="Tahoma" w:hAnsi="Tahoma" w:cs="Tahoma"/>
        <w:b/>
        <w:sz w:val="16"/>
        <w:szCs w:val="16"/>
      </w:rPr>
      <w:t>A</w:t>
    </w:r>
    <w:r w:rsidRPr="002A08D0">
      <w:rPr>
        <w:rFonts w:ascii="Tahoma" w:hAnsi="Tahoma" w:cs="Tahoma"/>
        <w:b/>
        <w:sz w:val="16"/>
        <w:szCs w:val="16"/>
      </w:rPr>
      <w:t xml:space="preserve">CS </w:t>
    </w:r>
    <w:r>
      <w:rPr>
        <w:rFonts w:ascii="Tahoma" w:hAnsi="Tahoma" w:cs="Tahoma"/>
        <w:b/>
        <w:sz w:val="16"/>
        <w:szCs w:val="16"/>
      </w:rPr>
      <w:t xml:space="preserve">Local Procedure: 32 </w:t>
    </w:r>
  </w:p>
  <w:p w:rsidRPr="00C20A5B" w:rsidR="00BB540C" w:rsidP="00BB540C" w:rsidRDefault="008C7B7F" w14:paraId="383B5694" w14:textId="21AD4851">
    <w:pPr>
      <w:pStyle w:val="Footer"/>
      <w:ind w:right="-186"/>
    </w:pPr>
    <w:r>
      <w:rPr>
        <w:rFonts w:ascii="Tahoma" w:hAnsi="Tahoma" w:cs="Tahoma"/>
        <w:sz w:val="16"/>
        <w:szCs w:val="16"/>
      </w:rPr>
      <w:t xml:space="preserve">Aspris </w:t>
    </w:r>
    <w:r w:rsidRPr="004C0F0F" w:rsidR="00BB540C">
      <w:rPr>
        <w:rFonts w:ascii="Tahoma" w:hAnsi="Tahoma" w:cs="Tahoma"/>
        <w:sz w:val="16"/>
        <w:szCs w:val="16"/>
      </w:rPr>
      <w:t xml:space="preserve">Children’s Services – </w:t>
    </w:r>
    <w:r w:rsidRPr="006F6230" w:rsidR="00F921DE">
      <w:rPr>
        <w:rFonts w:ascii="Tahoma" w:hAnsi="Tahoma" w:cs="Tahoma"/>
        <w:sz w:val="16"/>
        <w:szCs w:val="16"/>
      </w:rPr>
      <w:t>V0</w:t>
    </w:r>
    <w:r w:rsidR="00086968">
      <w:rPr>
        <w:rFonts w:ascii="Tahoma" w:hAnsi="Tahoma" w:cs="Tahoma"/>
        <w:sz w:val="16"/>
        <w:szCs w:val="16"/>
      </w:rPr>
      <w:t>3</w:t>
    </w:r>
    <w:r w:rsidRPr="006F6230" w:rsidR="00BB540C">
      <w:rPr>
        <w:rFonts w:ascii="Tahoma" w:hAnsi="Tahoma" w:cs="Tahoma"/>
        <w:sz w:val="16"/>
        <w:szCs w:val="16"/>
      </w:rPr>
      <w:t xml:space="preserve"> – </w:t>
    </w:r>
    <w:r w:rsidR="00086968">
      <w:rPr>
        <w:rFonts w:ascii="Tahoma" w:hAnsi="Tahoma" w:cs="Tahoma"/>
        <w:sz w:val="16"/>
        <w:szCs w:val="16"/>
      </w:rPr>
      <w:t xml:space="preserve">August </w:t>
    </w:r>
    <w:r w:rsidRPr="006F6230" w:rsidR="00F921DE">
      <w:rPr>
        <w:rFonts w:ascii="Tahoma" w:hAnsi="Tahoma" w:cs="Tahoma"/>
        <w:sz w:val="16"/>
        <w:szCs w:val="16"/>
      </w:rPr>
      <w:t>202</w:t>
    </w:r>
    <w:r w:rsidR="00086968">
      <w:rPr>
        <w:rFonts w:ascii="Tahoma" w:hAnsi="Tahoma" w:cs="Tahoma"/>
        <w:sz w:val="16"/>
        <w:szCs w:val="16"/>
      </w:rPr>
      <w:t>5</w:t>
    </w:r>
    <w:r w:rsidR="00F921DE">
      <w:rPr>
        <w:rFonts w:ascii="Tahoma" w:hAnsi="Tahoma" w:cs="Tahoma"/>
        <w:color w:val="000000"/>
        <w:sz w:val="16"/>
        <w:szCs w:val="16"/>
      </w:rPr>
      <w:tab/>
    </w:r>
    <w:r w:rsidR="00BB540C">
      <w:rPr>
        <w:rFonts w:ascii="Tahoma" w:hAnsi="Tahoma" w:cs="Tahoma"/>
        <w:sz w:val="16"/>
      </w:rPr>
      <w:tab/>
    </w:r>
    <w:r w:rsidRPr="00C20A5B" w:rsidR="00BB540C">
      <w:rPr>
        <w:rFonts w:ascii="Tahoma" w:hAnsi="Tahoma" w:cs="Tahoma"/>
        <w:sz w:val="16"/>
      </w:rPr>
      <w:t xml:space="preserve">Page </w:t>
    </w:r>
    <w:r w:rsidRPr="00C20A5B" w:rsidR="00BB540C">
      <w:rPr>
        <w:rStyle w:val="PageNumber"/>
        <w:rFonts w:ascii="Tahoma" w:hAnsi="Tahoma" w:cs="Tahoma"/>
        <w:sz w:val="16"/>
      </w:rPr>
      <w:fldChar w:fldCharType="begin"/>
    </w:r>
    <w:r w:rsidRPr="00C20A5B" w:rsidR="00BB540C">
      <w:rPr>
        <w:rStyle w:val="PageNumber"/>
        <w:rFonts w:ascii="Tahoma" w:hAnsi="Tahoma" w:cs="Tahoma"/>
        <w:sz w:val="16"/>
      </w:rPr>
      <w:instrText xml:space="preserve"> PAGE </w:instrText>
    </w:r>
    <w:r w:rsidRPr="00C20A5B" w:rsidR="00BB540C">
      <w:rPr>
        <w:rStyle w:val="PageNumber"/>
        <w:rFonts w:ascii="Tahoma" w:hAnsi="Tahoma" w:cs="Tahoma"/>
        <w:sz w:val="16"/>
      </w:rPr>
      <w:fldChar w:fldCharType="separate"/>
    </w:r>
    <w:r w:rsidR="006F6230">
      <w:rPr>
        <w:rStyle w:val="PageNumber"/>
        <w:rFonts w:ascii="Tahoma" w:hAnsi="Tahoma" w:cs="Tahoma"/>
        <w:noProof/>
        <w:sz w:val="16"/>
      </w:rPr>
      <w:t>1</w:t>
    </w:r>
    <w:r w:rsidRPr="00C20A5B" w:rsidR="00BB540C">
      <w:rPr>
        <w:rStyle w:val="PageNumber"/>
        <w:rFonts w:ascii="Tahoma" w:hAnsi="Tahoma" w:cs="Tahoma"/>
        <w:sz w:val="16"/>
      </w:rPr>
      <w:fldChar w:fldCharType="end"/>
    </w:r>
    <w:r w:rsidRPr="00C20A5B" w:rsidR="00BB540C">
      <w:rPr>
        <w:rFonts w:ascii="Tahoma" w:hAnsi="Tahoma" w:cs="Tahoma"/>
        <w:sz w:val="16"/>
      </w:rPr>
      <w:t xml:space="preserve"> of </w:t>
    </w:r>
    <w:r w:rsidRPr="00C20A5B" w:rsidR="00BB540C">
      <w:rPr>
        <w:rFonts w:ascii="Tahoma" w:hAnsi="Tahoma" w:cs="Tahoma"/>
        <w:sz w:val="16"/>
        <w:szCs w:val="16"/>
      </w:rPr>
      <w:fldChar w:fldCharType="begin"/>
    </w:r>
    <w:r w:rsidRPr="00C20A5B" w:rsidR="00BB540C">
      <w:rPr>
        <w:rFonts w:ascii="Tahoma" w:hAnsi="Tahoma" w:cs="Tahoma"/>
        <w:sz w:val="16"/>
        <w:szCs w:val="16"/>
      </w:rPr>
      <w:instrText xml:space="preserve"> NUMPAGES  </w:instrText>
    </w:r>
    <w:r w:rsidRPr="00C20A5B" w:rsidR="00BB540C">
      <w:rPr>
        <w:rFonts w:ascii="Tahoma" w:hAnsi="Tahoma" w:cs="Tahoma"/>
        <w:sz w:val="16"/>
        <w:szCs w:val="16"/>
      </w:rPr>
      <w:fldChar w:fldCharType="separate"/>
    </w:r>
    <w:r w:rsidR="006F6230">
      <w:rPr>
        <w:rFonts w:ascii="Tahoma" w:hAnsi="Tahoma" w:cs="Tahoma"/>
        <w:noProof/>
        <w:sz w:val="16"/>
        <w:szCs w:val="16"/>
      </w:rPr>
      <w:t>2</w:t>
    </w:r>
    <w:r w:rsidRPr="00C20A5B" w:rsidR="00BB540C">
      <w:rPr>
        <w:rFonts w:ascii="Tahoma" w:hAnsi="Tahoma" w:cs="Tahoma"/>
        <w:sz w:val="16"/>
        <w:szCs w:val="16"/>
      </w:rPr>
      <w:fldChar w:fldCharType="end"/>
    </w:r>
  </w:p>
  <w:p w:rsidRPr="00847CED" w:rsidR="00847CED" w:rsidRDefault="00847CED" w14:paraId="57754C32" w14:textId="7777777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2E2F" w:rsidP="00714039" w:rsidRDefault="00042E2F" w14:paraId="49F91199" w14:textId="77777777">
      <w:pPr>
        <w:spacing w:after="0" w:line="240" w:lineRule="auto"/>
      </w:pPr>
      <w:r>
        <w:separator/>
      </w:r>
    </w:p>
  </w:footnote>
  <w:footnote w:type="continuationSeparator" w:id="0">
    <w:p w:rsidR="00042E2F" w:rsidP="00714039" w:rsidRDefault="00042E2F" w14:paraId="732508F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1DE" w:rsidP="00714039" w:rsidRDefault="00F921DE" w14:paraId="15E4B91A" w14:textId="77777777">
    <w:pPr>
      <w:pStyle w:val="Header"/>
      <w:jc w:val="center"/>
      <w:rPr>
        <w:b/>
        <w:color w:val="7F7F7F" w:themeColor="text1" w:themeTint="80"/>
      </w:rPr>
    </w:pPr>
  </w:p>
  <w:p w:rsidRPr="008C7B7F" w:rsidR="00714039" w:rsidP="00714039" w:rsidRDefault="00714039" w14:paraId="029DC59C" w14:textId="1D94CF17">
    <w:pPr>
      <w:pStyle w:val="Header"/>
      <w:jc w:val="center"/>
      <w:rPr>
        <w:rFonts w:ascii="Tahoma" w:hAnsi="Tahoma" w:cs="Tahoma"/>
        <w:b/>
        <w:color w:val="7F7F7F" w:themeColor="text1" w:themeTint="80"/>
        <w:sz w:val="16"/>
        <w:szCs w:val="16"/>
      </w:rPr>
    </w:pPr>
    <w:r w:rsidRPr="008C7B7F">
      <w:rPr>
        <w:rFonts w:ascii="Tahoma" w:hAnsi="Tahoma" w:cs="Tahoma"/>
        <w:b/>
        <w:color w:val="7F7F7F" w:themeColor="text1" w:themeTint="80"/>
        <w:sz w:val="16"/>
        <w:szCs w:val="16"/>
      </w:rPr>
      <w:t>Local Procedure Template</w:t>
    </w:r>
  </w:p>
  <w:p w:rsidR="00714039" w:rsidRDefault="00714039" w14:paraId="79B296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507bf2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c5648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85e9a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d428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268a7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f089d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1db6c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03489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1f8bb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c1dc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c8b07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b95e5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15173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5a746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fe192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92bfe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a070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6522a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36705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D4F0B1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67724A8C"/>
    <w:multiLevelType w:val="hybridMultilevel"/>
    <w:tmpl w:val="26782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1361318241">
    <w:abstractNumId w:val="0"/>
  </w:num>
  <w:num w:numId="2" w16cid:durableId="46072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039"/>
    <w:rsid w:val="00042E2F"/>
    <w:rsid w:val="00067E95"/>
    <w:rsid w:val="00072065"/>
    <w:rsid w:val="00086968"/>
    <w:rsid w:val="001C1F37"/>
    <w:rsid w:val="001F544A"/>
    <w:rsid w:val="00207BE5"/>
    <w:rsid w:val="00212BD1"/>
    <w:rsid w:val="00215584"/>
    <w:rsid w:val="002240E8"/>
    <w:rsid w:val="00232404"/>
    <w:rsid w:val="00234057"/>
    <w:rsid w:val="002413F1"/>
    <w:rsid w:val="00283F8F"/>
    <w:rsid w:val="002C52F6"/>
    <w:rsid w:val="002E607B"/>
    <w:rsid w:val="002F2193"/>
    <w:rsid w:val="003134AE"/>
    <w:rsid w:val="003F7E1B"/>
    <w:rsid w:val="004762D5"/>
    <w:rsid w:val="00592640"/>
    <w:rsid w:val="006D504B"/>
    <w:rsid w:val="006F60F3"/>
    <w:rsid w:val="006F6230"/>
    <w:rsid w:val="00714039"/>
    <w:rsid w:val="007B05E9"/>
    <w:rsid w:val="00847CED"/>
    <w:rsid w:val="008C0321"/>
    <w:rsid w:val="008C7B7F"/>
    <w:rsid w:val="008E278C"/>
    <w:rsid w:val="00941E54"/>
    <w:rsid w:val="00A04AE0"/>
    <w:rsid w:val="00AF6830"/>
    <w:rsid w:val="00B24B26"/>
    <w:rsid w:val="00B95182"/>
    <w:rsid w:val="00B957E3"/>
    <w:rsid w:val="00BB540C"/>
    <w:rsid w:val="00BE4844"/>
    <w:rsid w:val="00C51D06"/>
    <w:rsid w:val="00C57383"/>
    <w:rsid w:val="00C96EDD"/>
    <w:rsid w:val="00CA19F6"/>
    <w:rsid w:val="00D0023C"/>
    <w:rsid w:val="00D07AD1"/>
    <w:rsid w:val="00E12511"/>
    <w:rsid w:val="00ED27F4"/>
    <w:rsid w:val="00F03010"/>
    <w:rsid w:val="00F116BD"/>
    <w:rsid w:val="00F60B42"/>
    <w:rsid w:val="00F921DE"/>
    <w:rsid w:val="00FA614F"/>
    <w:rsid w:val="00FE1B0D"/>
    <w:rsid w:val="014B3F91"/>
    <w:rsid w:val="04756061"/>
    <w:rsid w:val="0682B76A"/>
    <w:rsid w:val="06C35D74"/>
    <w:rsid w:val="073B1456"/>
    <w:rsid w:val="085042C7"/>
    <w:rsid w:val="0B620FAB"/>
    <w:rsid w:val="0C3E9E1E"/>
    <w:rsid w:val="0D6FD7D5"/>
    <w:rsid w:val="0F3326FA"/>
    <w:rsid w:val="106BA1E7"/>
    <w:rsid w:val="111F808C"/>
    <w:rsid w:val="14F76671"/>
    <w:rsid w:val="16D2A42A"/>
    <w:rsid w:val="18D999C2"/>
    <w:rsid w:val="1F333B9B"/>
    <w:rsid w:val="1F45D245"/>
    <w:rsid w:val="25A76C2E"/>
    <w:rsid w:val="29A04E28"/>
    <w:rsid w:val="2A9CB91D"/>
    <w:rsid w:val="2CE9A113"/>
    <w:rsid w:val="2E223233"/>
    <w:rsid w:val="2E895233"/>
    <w:rsid w:val="2F872F09"/>
    <w:rsid w:val="2FA84E6C"/>
    <w:rsid w:val="315892E4"/>
    <w:rsid w:val="325C8F41"/>
    <w:rsid w:val="3C3B7D29"/>
    <w:rsid w:val="3E0908B5"/>
    <w:rsid w:val="3EF55E95"/>
    <w:rsid w:val="46A703CB"/>
    <w:rsid w:val="5198BD88"/>
    <w:rsid w:val="54402822"/>
    <w:rsid w:val="592CD6F2"/>
    <w:rsid w:val="62603CD7"/>
    <w:rsid w:val="63767AC8"/>
    <w:rsid w:val="647B77F7"/>
    <w:rsid w:val="662F6BCA"/>
    <w:rsid w:val="6670047E"/>
    <w:rsid w:val="674A5192"/>
    <w:rsid w:val="6E1653D5"/>
    <w:rsid w:val="71567A0A"/>
    <w:rsid w:val="766B0707"/>
    <w:rsid w:val="799EB6A9"/>
    <w:rsid w:val="7B33EE03"/>
    <w:rsid w:val="7B764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63C41C3"/>
  <w15:docId w15:val="{D145B6C1-E0AA-468F-BEAF-A44ED61E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47CED"/>
    <w:pPr>
      <w:keepNext/>
      <w:keepLines/>
      <w:numPr>
        <w:numId w:val="1"/>
      </w:numPr>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7CED"/>
    <w:pPr>
      <w:keepNext/>
      <w:keepLines/>
      <w:numPr>
        <w:ilvl w:val="1"/>
        <w:numId w:val="1"/>
      </w:numPr>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7CED"/>
    <w:pPr>
      <w:keepNext/>
      <w:keepLines/>
      <w:numPr>
        <w:ilvl w:val="2"/>
        <w:numId w:val="1"/>
      </w:numPr>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847CED"/>
    <w:pPr>
      <w:keepNext/>
      <w:keepLines/>
      <w:numPr>
        <w:ilvl w:val="3"/>
        <w:numId w:val="1"/>
      </w:numPr>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847CED"/>
    <w:pPr>
      <w:keepNext/>
      <w:keepLines/>
      <w:numPr>
        <w:ilvl w:val="4"/>
        <w:numId w:val="1"/>
      </w:numPr>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847CED"/>
    <w:pPr>
      <w:keepNext/>
      <w:keepLines/>
      <w:numPr>
        <w:ilvl w:val="5"/>
        <w:numId w:val="1"/>
      </w:numPr>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847CED"/>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47CED"/>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7CED"/>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14039"/>
    <w:pPr>
      <w:tabs>
        <w:tab w:val="center" w:pos="4513"/>
        <w:tab w:val="right" w:pos="9026"/>
      </w:tabs>
      <w:spacing w:after="0" w:line="240" w:lineRule="auto"/>
    </w:pPr>
  </w:style>
  <w:style w:type="character" w:styleId="HeaderChar" w:customStyle="1">
    <w:name w:val="Header Char"/>
    <w:basedOn w:val="DefaultParagraphFont"/>
    <w:link w:val="Header"/>
    <w:uiPriority w:val="99"/>
    <w:rsid w:val="00714039"/>
  </w:style>
  <w:style w:type="paragraph" w:styleId="Footer">
    <w:name w:val="footer"/>
    <w:basedOn w:val="Normal"/>
    <w:link w:val="FooterChar"/>
    <w:uiPriority w:val="99"/>
    <w:unhideWhenUsed/>
    <w:rsid w:val="00714039"/>
    <w:pPr>
      <w:tabs>
        <w:tab w:val="center" w:pos="4513"/>
        <w:tab w:val="right" w:pos="9026"/>
      </w:tabs>
      <w:spacing w:after="0" w:line="240" w:lineRule="auto"/>
    </w:pPr>
  </w:style>
  <w:style w:type="character" w:styleId="FooterChar" w:customStyle="1">
    <w:name w:val="Footer Char"/>
    <w:basedOn w:val="DefaultParagraphFont"/>
    <w:link w:val="Footer"/>
    <w:uiPriority w:val="99"/>
    <w:rsid w:val="00714039"/>
  </w:style>
  <w:style w:type="paragraph" w:styleId="BalloonText">
    <w:name w:val="Balloon Text"/>
    <w:basedOn w:val="Normal"/>
    <w:link w:val="BalloonTextChar"/>
    <w:uiPriority w:val="99"/>
    <w:semiHidden/>
    <w:unhideWhenUsed/>
    <w:rsid w:val="0071403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14039"/>
    <w:rPr>
      <w:rFonts w:ascii="Tahoma" w:hAnsi="Tahoma" w:cs="Tahoma"/>
      <w:sz w:val="16"/>
      <w:szCs w:val="16"/>
    </w:rPr>
  </w:style>
  <w:style w:type="table" w:styleId="TableGrid">
    <w:name w:val="Table Grid"/>
    <w:basedOn w:val="TableNormal"/>
    <w:uiPriority w:val="59"/>
    <w:rsid w:val="007B05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847CED"/>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semiHidden/>
    <w:rsid w:val="00847CED"/>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semiHidden/>
    <w:rsid w:val="00847CED"/>
    <w:rPr>
      <w:rFonts w:asciiTheme="majorHAnsi" w:hAnsiTheme="majorHAnsi" w:eastAsiaTheme="majorEastAsia" w:cstheme="majorBidi"/>
      <w:b/>
      <w:bCs/>
      <w:color w:val="4F81BD" w:themeColor="accent1"/>
    </w:rPr>
  </w:style>
  <w:style w:type="character" w:styleId="Heading4Char" w:customStyle="1">
    <w:name w:val="Heading 4 Char"/>
    <w:basedOn w:val="DefaultParagraphFont"/>
    <w:link w:val="Heading4"/>
    <w:uiPriority w:val="9"/>
    <w:semiHidden/>
    <w:rsid w:val="00847CED"/>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847CED"/>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847CED"/>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847CED"/>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847CED"/>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847CED"/>
    <w:rPr>
      <w:rFonts w:asciiTheme="majorHAnsi" w:hAnsiTheme="majorHAnsi" w:eastAsiaTheme="majorEastAsia" w:cstheme="majorBidi"/>
      <w:i/>
      <w:iCs/>
      <w:color w:val="404040" w:themeColor="text1" w:themeTint="BF"/>
      <w:sz w:val="20"/>
      <w:szCs w:val="20"/>
    </w:rPr>
  </w:style>
  <w:style w:type="paragraph" w:styleId="ListParagraph">
    <w:name w:val="List Paragraph"/>
    <w:basedOn w:val="Normal"/>
    <w:uiPriority w:val="34"/>
    <w:qFormat/>
    <w:rsid w:val="00847CED"/>
    <w:pPr>
      <w:ind w:left="720"/>
      <w:contextualSpacing/>
    </w:pPr>
  </w:style>
  <w:style w:type="character" w:styleId="PageNumber">
    <w:name w:val="page number"/>
    <w:basedOn w:val="DefaultParagraphFont"/>
    <w:rsid w:val="00BB540C"/>
  </w:style>
  <w:style w:type="paragraph" w:styleId="Revision">
    <w:name w:val="Revision"/>
    <w:hidden/>
    <w:uiPriority w:val="99"/>
    <w:semiHidden/>
    <w:rsid w:val="002413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9B6CCB69E9E4E9BCBF865A8C9359C" ma:contentTypeVersion="16" ma:contentTypeDescription="Create a new document." ma:contentTypeScope="" ma:versionID="062f460aefed5f7039e4e5dde492d8c6">
  <xsd:schema xmlns:xsd="http://www.w3.org/2001/XMLSchema" xmlns:xs="http://www.w3.org/2001/XMLSchema" xmlns:p="http://schemas.microsoft.com/office/2006/metadata/properties" xmlns:ns2="f301a824-12ae-4b87-96ce-8bd46e178b0d" xmlns:ns3="004d13b7-96c3-4ca1-b4ae-a9ac1cf50d3f" targetNamespace="http://schemas.microsoft.com/office/2006/metadata/properties" ma:root="true" ma:fieldsID="30dabe4f60557786d9bd5e42747630e5" ns2:_="" ns3:_="">
    <xsd:import namespace="f301a824-12ae-4b87-96ce-8bd46e178b0d"/>
    <xsd:import namespace="004d13b7-96c3-4ca1-b4ae-a9ac1cf50d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1a824-12ae-4b87-96ce-8bd46e178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79bdcd2-fc57-4517-ad87-cbc1f9d6a93c}" ma:internalName="TaxCatchAll" ma:showField="CatchAllData" ma:web="f301a824-12ae-4b87-96ce-8bd46e178b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4d13b7-96c3-4ca1-b4ae-a9ac1cf50d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01a824-12ae-4b87-96ce-8bd46e178b0d" xsi:nil="true"/>
    <lcf76f155ced4ddcb4097134ff3c332f xmlns="004d13b7-96c3-4ca1-b4ae-a9ac1cf50d3f">
      <Terms xmlns="http://schemas.microsoft.com/office/infopath/2007/PartnerControls"/>
    </lcf76f155ced4ddcb4097134ff3c332f>
    <_dlc_DocId xmlns="f301a824-12ae-4b87-96ce-8bd46e178b0d">YDUQXXY7F45Q-1181653311-642681</_dlc_DocId>
    <_dlc_DocIdUrl xmlns="f301a824-12ae-4b87-96ce-8bd46e178b0d">
      <Url>https://aspriscs.sharepoint.com/sites/ClayHillCoxlease/_layouts/15/DocIdRedir.aspx?ID=YDUQXXY7F45Q-1181653311-642681</Url>
      <Description>YDUQXXY7F45Q-1181653311-642681</Description>
    </_dlc_DocIdUrl>
  </documentManagement>
</p:properties>
</file>

<file path=customXml/itemProps1.xml><?xml version="1.0" encoding="utf-8"?>
<ds:datastoreItem xmlns:ds="http://schemas.openxmlformats.org/officeDocument/2006/customXml" ds:itemID="{1A3F3DF5-E6D5-4B2C-AB01-FD730A40F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1a824-12ae-4b87-96ce-8bd46e178b0d"/>
    <ds:schemaRef ds:uri="004d13b7-96c3-4ca1-b4ae-a9ac1cf50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8DC8C-91C6-4200-ACDD-E35AB07082A6}">
  <ds:schemaRefs>
    <ds:schemaRef ds:uri="http://schemas.microsoft.com/sharepoint/events"/>
  </ds:schemaRefs>
</ds:datastoreItem>
</file>

<file path=customXml/itemProps3.xml><?xml version="1.0" encoding="utf-8"?>
<ds:datastoreItem xmlns:ds="http://schemas.openxmlformats.org/officeDocument/2006/customXml" ds:itemID="{F1087BA1-D92A-45B0-8351-E24386BF266A}">
  <ds:schemaRefs>
    <ds:schemaRef ds:uri="http://schemas.microsoft.com/sharepoint/v3/contenttype/forms"/>
  </ds:schemaRefs>
</ds:datastoreItem>
</file>

<file path=customXml/itemProps4.xml><?xml version="1.0" encoding="utf-8"?>
<ds:datastoreItem xmlns:ds="http://schemas.openxmlformats.org/officeDocument/2006/customXml" ds:itemID="{8C2F0573-A88C-412F-B692-38DD12F4EF71}">
  <ds:schemaRefs>
    <ds:schemaRef ds:uri="http://purl.org/dc/elements/1.1/"/>
    <ds:schemaRef ds:uri="http://purl.org/dc/dcmitype/"/>
    <ds:schemaRef ds:uri="http://schemas.microsoft.com/office/infopath/2007/PartnerControls"/>
    <ds:schemaRef ds:uri="http://schemas.microsoft.com/office/2006/metadata/properties"/>
    <ds:schemaRef ds:uri="004d13b7-96c3-4ca1-b4ae-a9ac1cf50d3f"/>
    <ds:schemaRef ds:uri="http://schemas.microsoft.com/office/2006/documentManagement/types"/>
    <ds:schemaRef ds:uri="http://schemas.openxmlformats.org/package/2006/metadata/core-properties"/>
    <ds:schemaRef ds:uri="f301a824-12ae-4b87-96ce-8bd46e178b0d"/>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Priorygroup.com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Rickson</dc:creator>
  <cp:lastModifiedBy>Lisle Smith</cp:lastModifiedBy>
  <cp:revision>4</cp:revision>
  <dcterms:created xsi:type="dcterms:W3CDTF">2025-09-25T13:33:00Z</dcterms:created>
  <dcterms:modified xsi:type="dcterms:W3CDTF">2025-10-01T08:45:02Z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0x010100A239B6CCB69E9E4E9BCBF865A8C9359C</vt:lpwstr>
  </property>
  <property fmtid="{D5CDD505-2E9C-101B-9397-08002B2CF9AE}" pid="3" name="_dlc_DocIdItemGuid">
    <vt:lpwstr>58b2ea73-18bb-4b05-ab6a-1145a758c2cb</vt:lpwstr>
  </property>
  <property fmtid="{D5CDD505-2E9C-101B-9397-08002B2CF9AE}" pid="4" name="MediaServiceImageTags">
    <vt:lpwstr/>
  </property>
</Properties>
</file>