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5386" w14:textId="7F1B09D1" w:rsidR="00714039" w:rsidRDefault="00D36B5A">
      <w:r>
        <w:rPr>
          <w:rFonts w:ascii="Tahoma" w:hAnsi="Tahoma" w:cs="Tahoma"/>
          <w:noProof/>
          <w:color w:val="365F91"/>
        </w:rPr>
        <w:drawing>
          <wp:anchor distT="0" distB="0" distL="114300" distR="114300" simplePos="0" relativeHeight="251658752" behindDoc="1" locked="0" layoutInCell="1" allowOverlap="1" wp14:anchorId="16B70E45" wp14:editId="3F7B1EAA">
            <wp:simplePos x="0" y="0"/>
            <wp:positionH relativeFrom="margin">
              <wp:align>left</wp:align>
            </wp:positionH>
            <wp:positionV relativeFrom="paragraph">
              <wp:posOffset>-621665</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tbl>
      <w:tblPr>
        <w:tblStyle w:val="TableGrid"/>
        <w:tblW w:w="0" w:type="auto"/>
        <w:tblLook w:val="04A0" w:firstRow="1" w:lastRow="0" w:firstColumn="1" w:lastColumn="0" w:noHBand="0" w:noVBand="1"/>
      </w:tblPr>
      <w:tblGrid>
        <w:gridCol w:w="3435"/>
        <w:gridCol w:w="5581"/>
      </w:tblGrid>
      <w:tr w:rsidR="007B05E9" w14:paraId="11B6E6F0" w14:textId="77777777" w:rsidTr="008C0321">
        <w:tc>
          <w:tcPr>
            <w:tcW w:w="3510" w:type="dxa"/>
            <w:shd w:val="clear" w:color="auto" w:fill="DBE5F1" w:themeFill="accent1" w:themeFillTint="33"/>
          </w:tcPr>
          <w:p w14:paraId="3687E9E9" w14:textId="000B2BE8" w:rsidR="007B05E9" w:rsidRPr="00847CED" w:rsidRDefault="007B05E9">
            <w:pPr>
              <w:rPr>
                <w:b/>
              </w:rPr>
            </w:pPr>
            <w:r w:rsidRPr="00847CED">
              <w:rPr>
                <w:b/>
              </w:rPr>
              <w:t>Local Procedure Title</w:t>
            </w:r>
          </w:p>
        </w:tc>
        <w:tc>
          <w:tcPr>
            <w:tcW w:w="5732" w:type="dxa"/>
          </w:tcPr>
          <w:p w14:paraId="17256C42" w14:textId="425B3CC8" w:rsidR="007B05E9" w:rsidRPr="001F544A" w:rsidRDefault="00A91203" w:rsidP="00C51D06">
            <w:pPr>
              <w:rPr>
                <w:b/>
              </w:rPr>
            </w:pPr>
            <w:r>
              <w:rPr>
                <w:b/>
              </w:rPr>
              <w:t>PSHE Curriculum</w:t>
            </w:r>
          </w:p>
        </w:tc>
      </w:tr>
      <w:tr w:rsidR="007B05E9" w14:paraId="160F7197" w14:textId="77777777" w:rsidTr="008C0321">
        <w:tc>
          <w:tcPr>
            <w:tcW w:w="3510" w:type="dxa"/>
            <w:shd w:val="clear" w:color="auto" w:fill="DBE5F1" w:themeFill="accent1" w:themeFillTint="33"/>
          </w:tcPr>
          <w:p w14:paraId="30C63930" w14:textId="41DE32E2" w:rsidR="007B05E9" w:rsidRPr="00847CED" w:rsidRDefault="007B05E9">
            <w:pPr>
              <w:rPr>
                <w:b/>
              </w:rPr>
            </w:pPr>
            <w:r w:rsidRPr="00847CED">
              <w:rPr>
                <w:b/>
              </w:rPr>
              <w:t>S</w:t>
            </w:r>
            <w:r w:rsidR="00CA15C8">
              <w:rPr>
                <w:b/>
              </w:rPr>
              <w:t>ervice</w:t>
            </w:r>
          </w:p>
        </w:tc>
        <w:tc>
          <w:tcPr>
            <w:tcW w:w="5732" w:type="dxa"/>
          </w:tcPr>
          <w:p w14:paraId="3F8CC286" w14:textId="77777777" w:rsidR="007B05E9" w:rsidRPr="001F544A" w:rsidRDefault="007B05E9">
            <w:pPr>
              <w:rPr>
                <w:b/>
              </w:rPr>
            </w:pPr>
          </w:p>
        </w:tc>
      </w:tr>
      <w:tr w:rsidR="007B05E9" w14:paraId="3ED316BC" w14:textId="77777777" w:rsidTr="008C0321">
        <w:tc>
          <w:tcPr>
            <w:tcW w:w="3510" w:type="dxa"/>
            <w:shd w:val="clear" w:color="auto" w:fill="DBE5F1" w:themeFill="accent1" w:themeFillTint="33"/>
          </w:tcPr>
          <w:p w14:paraId="69855856" w14:textId="3E9B7086" w:rsidR="007B05E9" w:rsidRPr="00847CED" w:rsidRDefault="000E4296" w:rsidP="00847CED">
            <w:pPr>
              <w:rPr>
                <w:b/>
              </w:rPr>
            </w:pPr>
            <w:r>
              <w:rPr>
                <w:b/>
              </w:rPr>
              <w:t>A</w:t>
            </w:r>
            <w:r w:rsidR="007B05E9" w:rsidRPr="00847CED">
              <w:rPr>
                <w:b/>
              </w:rPr>
              <w:t xml:space="preserve">CS Policy </w:t>
            </w:r>
            <w:r w:rsidR="00847CED">
              <w:rPr>
                <w:b/>
              </w:rPr>
              <w:t>number and t</w:t>
            </w:r>
            <w:r w:rsidR="00847CED" w:rsidRPr="00847CED">
              <w:rPr>
                <w:b/>
              </w:rPr>
              <w:t>itle</w:t>
            </w:r>
          </w:p>
        </w:tc>
        <w:tc>
          <w:tcPr>
            <w:tcW w:w="5732" w:type="dxa"/>
          </w:tcPr>
          <w:p w14:paraId="3B9ADB12" w14:textId="001B00B6" w:rsidR="007B05E9" w:rsidRPr="001F544A" w:rsidRDefault="004251A8" w:rsidP="001C2CD5">
            <w:pPr>
              <w:rPr>
                <w:b/>
              </w:rPr>
            </w:pPr>
            <w:r>
              <w:rPr>
                <w:b/>
              </w:rPr>
              <w:t>A</w:t>
            </w:r>
            <w:r w:rsidR="00BE4844" w:rsidRPr="001F544A">
              <w:rPr>
                <w:b/>
              </w:rPr>
              <w:t xml:space="preserve">CS </w:t>
            </w:r>
            <w:r w:rsidR="00B24B26">
              <w:rPr>
                <w:b/>
              </w:rPr>
              <w:t>3</w:t>
            </w:r>
            <w:r w:rsidR="001C2CD5">
              <w:rPr>
                <w:b/>
              </w:rPr>
              <w:t>1</w:t>
            </w:r>
            <w:r w:rsidR="00BE4844" w:rsidRPr="001F544A">
              <w:rPr>
                <w:b/>
              </w:rPr>
              <w:t xml:space="preserve"> </w:t>
            </w:r>
            <w:r w:rsidR="00A91203">
              <w:rPr>
                <w:b/>
              </w:rPr>
              <w:t>PSHE</w:t>
            </w:r>
          </w:p>
        </w:tc>
      </w:tr>
      <w:tr w:rsidR="008C0321" w14:paraId="4E281FEC" w14:textId="77777777" w:rsidTr="008C0321">
        <w:tc>
          <w:tcPr>
            <w:tcW w:w="3510" w:type="dxa"/>
            <w:shd w:val="clear" w:color="auto" w:fill="DBE5F1" w:themeFill="accent1" w:themeFillTint="33"/>
          </w:tcPr>
          <w:p w14:paraId="431BF1EE" w14:textId="77777777" w:rsidR="008C0321" w:rsidRPr="00847CED" w:rsidRDefault="008C0321" w:rsidP="00847CED">
            <w:pPr>
              <w:rPr>
                <w:b/>
              </w:rPr>
            </w:pPr>
            <w:r>
              <w:rPr>
                <w:b/>
              </w:rPr>
              <w:t>Local Procedure template reference</w:t>
            </w:r>
          </w:p>
        </w:tc>
        <w:tc>
          <w:tcPr>
            <w:tcW w:w="5732" w:type="dxa"/>
          </w:tcPr>
          <w:p w14:paraId="221D03D1" w14:textId="2E3DEB47" w:rsidR="008C0321" w:rsidRPr="001F544A" w:rsidRDefault="004251A8" w:rsidP="00E12511">
            <w:pPr>
              <w:rPr>
                <w:b/>
              </w:rPr>
            </w:pPr>
            <w:r>
              <w:rPr>
                <w:b/>
              </w:rPr>
              <w:t>A</w:t>
            </w:r>
            <w:r w:rsidR="00BE4844" w:rsidRPr="001F544A">
              <w:rPr>
                <w:b/>
              </w:rPr>
              <w:t xml:space="preserve">CS LP </w:t>
            </w:r>
            <w:r w:rsidR="00B24B26">
              <w:rPr>
                <w:b/>
              </w:rPr>
              <w:t>3</w:t>
            </w:r>
            <w:r w:rsidR="001C2CD5">
              <w:rPr>
                <w:b/>
              </w:rPr>
              <w:t>1</w:t>
            </w:r>
            <w:r w:rsidR="00BE4844" w:rsidRPr="001F544A">
              <w:rPr>
                <w:b/>
              </w:rPr>
              <w:t xml:space="preserve"> </w:t>
            </w:r>
          </w:p>
        </w:tc>
      </w:tr>
      <w:tr w:rsidR="007B05E9" w14:paraId="0B0DFB25" w14:textId="77777777" w:rsidTr="008C0321">
        <w:tc>
          <w:tcPr>
            <w:tcW w:w="3510" w:type="dxa"/>
            <w:shd w:val="clear" w:color="auto" w:fill="DBE5F1" w:themeFill="accent1" w:themeFillTint="33"/>
          </w:tcPr>
          <w:p w14:paraId="745D8702" w14:textId="77777777" w:rsidR="007B05E9" w:rsidRPr="00847CED" w:rsidRDefault="00847CED">
            <w:pPr>
              <w:rPr>
                <w:b/>
              </w:rPr>
            </w:pPr>
            <w:r w:rsidRPr="00847CED">
              <w:rPr>
                <w:b/>
              </w:rPr>
              <w:t>Local Procedure date</w:t>
            </w:r>
          </w:p>
        </w:tc>
        <w:tc>
          <w:tcPr>
            <w:tcW w:w="5732" w:type="dxa"/>
          </w:tcPr>
          <w:p w14:paraId="4311559B" w14:textId="77777777" w:rsidR="007B05E9" w:rsidRDefault="007B05E9"/>
        </w:tc>
      </w:tr>
      <w:tr w:rsidR="007B05E9" w14:paraId="5323C590" w14:textId="77777777" w:rsidTr="008C0321">
        <w:tc>
          <w:tcPr>
            <w:tcW w:w="3510" w:type="dxa"/>
            <w:shd w:val="clear" w:color="auto" w:fill="DBE5F1" w:themeFill="accent1" w:themeFillTint="33"/>
          </w:tcPr>
          <w:p w14:paraId="32687A22" w14:textId="77777777" w:rsidR="007B05E9" w:rsidRPr="00847CED" w:rsidRDefault="00847CED">
            <w:pPr>
              <w:rPr>
                <w:b/>
              </w:rPr>
            </w:pPr>
            <w:r w:rsidRPr="00847CED">
              <w:rPr>
                <w:b/>
              </w:rPr>
              <w:t>Local Procedure review date</w:t>
            </w:r>
          </w:p>
        </w:tc>
        <w:tc>
          <w:tcPr>
            <w:tcW w:w="5732" w:type="dxa"/>
          </w:tcPr>
          <w:p w14:paraId="6D222CF6" w14:textId="77777777" w:rsidR="007B05E9" w:rsidRDefault="007B05E9"/>
        </w:tc>
      </w:tr>
      <w:tr w:rsidR="007B05E9" w14:paraId="3298E550" w14:textId="77777777" w:rsidTr="008C0321">
        <w:tc>
          <w:tcPr>
            <w:tcW w:w="3510" w:type="dxa"/>
            <w:shd w:val="clear" w:color="auto" w:fill="DBE5F1" w:themeFill="accent1" w:themeFillTint="33"/>
          </w:tcPr>
          <w:p w14:paraId="1E5F0A3E" w14:textId="77777777" w:rsidR="007B05E9" w:rsidRPr="00847CED" w:rsidRDefault="00847CED">
            <w:pPr>
              <w:rPr>
                <w:b/>
              </w:rPr>
            </w:pPr>
            <w:r w:rsidRPr="00847CED">
              <w:rPr>
                <w:b/>
              </w:rPr>
              <w:t>Local Procedure Author(s)</w:t>
            </w:r>
          </w:p>
        </w:tc>
        <w:tc>
          <w:tcPr>
            <w:tcW w:w="5732" w:type="dxa"/>
          </w:tcPr>
          <w:p w14:paraId="3F18B9B3" w14:textId="77777777" w:rsidR="007B05E9" w:rsidRDefault="007B05E9"/>
        </w:tc>
      </w:tr>
      <w:tr w:rsidR="007B05E9" w14:paraId="6D4F7E43" w14:textId="77777777" w:rsidTr="008C0321">
        <w:tc>
          <w:tcPr>
            <w:tcW w:w="3510" w:type="dxa"/>
            <w:shd w:val="clear" w:color="auto" w:fill="DBE5F1" w:themeFill="accent1" w:themeFillTint="33"/>
          </w:tcPr>
          <w:p w14:paraId="2EA20D5F" w14:textId="77777777" w:rsidR="007B05E9" w:rsidRPr="00847CED" w:rsidRDefault="00847CED">
            <w:pPr>
              <w:rPr>
                <w:b/>
              </w:rPr>
            </w:pPr>
            <w:r w:rsidRPr="00847CED">
              <w:rPr>
                <w:b/>
              </w:rPr>
              <w:t>Local Procedure Ratification</w:t>
            </w:r>
          </w:p>
        </w:tc>
        <w:tc>
          <w:tcPr>
            <w:tcW w:w="5732" w:type="dxa"/>
          </w:tcPr>
          <w:p w14:paraId="19E7D127" w14:textId="77777777" w:rsidR="007B05E9" w:rsidRPr="008C0321" w:rsidRDefault="00847CED" w:rsidP="00ED27F4">
            <w:pPr>
              <w:rPr>
                <w:sz w:val="20"/>
                <w:szCs w:val="20"/>
              </w:rPr>
            </w:pPr>
            <w:r w:rsidRPr="008C0321">
              <w:rPr>
                <w:sz w:val="20"/>
                <w:szCs w:val="20"/>
              </w:rPr>
              <w:t xml:space="preserve">Checked and Approved by:              </w:t>
            </w:r>
            <w:r w:rsidR="00ED27F4">
              <w:rPr>
                <w:sz w:val="20"/>
                <w:szCs w:val="20"/>
              </w:rPr>
              <w:t xml:space="preserve">                               </w:t>
            </w:r>
          </w:p>
        </w:tc>
      </w:tr>
    </w:tbl>
    <w:p w14:paraId="1DABB9EB" w14:textId="77777777" w:rsidR="00847CED" w:rsidRPr="00847CED" w:rsidRDefault="00847CED" w:rsidP="00847CED"/>
    <w:tbl>
      <w:tblPr>
        <w:tblStyle w:val="TableGrid"/>
        <w:tblW w:w="0" w:type="auto"/>
        <w:tblInd w:w="-34" w:type="dxa"/>
        <w:tblLook w:val="04A0" w:firstRow="1" w:lastRow="0" w:firstColumn="1" w:lastColumn="0" w:noHBand="0" w:noVBand="1"/>
      </w:tblPr>
      <w:tblGrid>
        <w:gridCol w:w="9050"/>
      </w:tblGrid>
      <w:tr w:rsidR="0021017D" w:rsidRPr="0021017D" w14:paraId="3258DDE7" w14:textId="77777777" w:rsidTr="0021017D">
        <w:tc>
          <w:tcPr>
            <w:tcW w:w="9214" w:type="dxa"/>
          </w:tcPr>
          <w:p w14:paraId="60081D4C" w14:textId="6172F7D8" w:rsidR="0021017D" w:rsidRPr="0021017D" w:rsidRDefault="00A91203" w:rsidP="00583547">
            <w:pPr>
              <w:pStyle w:val="ListParagraph"/>
              <w:numPr>
                <w:ilvl w:val="0"/>
                <w:numId w:val="2"/>
              </w:numPr>
              <w:rPr>
                <w:b/>
              </w:rPr>
            </w:pPr>
            <w:r>
              <w:rPr>
                <w:b/>
              </w:rPr>
              <w:t>Aims</w:t>
            </w:r>
          </w:p>
        </w:tc>
      </w:tr>
      <w:tr w:rsidR="0021017D" w:rsidRPr="0021017D" w14:paraId="2A0A0350" w14:textId="77777777" w:rsidTr="0021017D">
        <w:tc>
          <w:tcPr>
            <w:tcW w:w="9214" w:type="dxa"/>
          </w:tcPr>
          <w:p w14:paraId="3FCC497D" w14:textId="75B47B0A" w:rsidR="00A91203" w:rsidRDefault="00A91203" w:rsidP="00AF6758">
            <w:pPr>
              <w:pStyle w:val="ListParagraph"/>
              <w:numPr>
                <w:ilvl w:val="0"/>
                <w:numId w:val="17"/>
              </w:numPr>
            </w:pPr>
            <w:r>
              <w:t>Greatness – understanding our capacity to reach our goals</w:t>
            </w:r>
          </w:p>
          <w:p w14:paraId="07C0E65D" w14:textId="4D90C788" w:rsidR="00A91203" w:rsidRDefault="00A91203" w:rsidP="00AF6758">
            <w:pPr>
              <w:pStyle w:val="ListParagraph"/>
              <w:numPr>
                <w:ilvl w:val="0"/>
                <w:numId w:val="17"/>
              </w:numPr>
            </w:pPr>
            <w:r>
              <w:t>Resilience –accepting ourselves for what we are and what we have experienced.</w:t>
            </w:r>
          </w:p>
          <w:p w14:paraId="01B18F18" w14:textId="61BA9461" w:rsidR="00A91203" w:rsidRDefault="00A91203" w:rsidP="00AF6758">
            <w:pPr>
              <w:pStyle w:val="ListParagraph"/>
              <w:numPr>
                <w:ilvl w:val="0"/>
                <w:numId w:val="17"/>
              </w:numPr>
            </w:pPr>
            <w:r>
              <w:t>Opportunity – enabling real life experiences to enhance our lives</w:t>
            </w:r>
          </w:p>
          <w:p w14:paraId="1645B2F9" w14:textId="13CB409F" w:rsidR="0021017D" w:rsidRDefault="00A91203" w:rsidP="00AF6758">
            <w:pPr>
              <w:pStyle w:val="ListParagraph"/>
              <w:numPr>
                <w:ilvl w:val="0"/>
                <w:numId w:val="17"/>
              </w:numPr>
            </w:pPr>
            <w:r>
              <w:t>Well-being – increasing knowledge and signposting for personal well-being</w:t>
            </w:r>
          </w:p>
          <w:p w14:paraId="1CAE40BC" w14:textId="77777777" w:rsidR="00AF6758" w:rsidRDefault="00AF6758" w:rsidP="00AF6758"/>
          <w:p w14:paraId="0FA6B501" w14:textId="77777777" w:rsidR="00300A3E" w:rsidRDefault="00300A3E" w:rsidP="00300A3E">
            <w:r>
              <w:t>In line with Keeping Children Safe in Education (KCSIE) safeguarding duties and the Children Act 1989/2004, the Education Act and related statutory guidance, our aim is to teach students how to keep themselves safe and healthy; how to manage their academic, personal, and social lives in a positive way now and in the future; and how to support their own and others’ wellbeing. This aligns with the Independent School Standards (ISS) as monitored by the Independent Schools Inspectorate (ISI), in particular safeguarding and promoting welfare, health and safety, and the effective management of the learning environment.</w:t>
            </w:r>
          </w:p>
          <w:p w14:paraId="097AAA0E" w14:textId="77777777" w:rsidR="00300A3E" w:rsidRDefault="00300A3E" w:rsidP="00300A3E"/>
          <w:p w14:paraId="41DA8186" w14:textId="77777777" w:rsidR="00300A3E" w:rsidRDefault="00300A3E" w:rsidP="00300A3E">
            <w:r>
              <w:t>We aim to develop students’ confidence in managing decisions and expressing viewpoints, and in working empathetically with others, to ensure positive and constructive communication skills. This aligns with the Relationships Education/Relationship and Sex Education (RSHE) policy requirements introduced by the Children and Social Work Act 2017 and subsequent statutory guidance, and is consistent with ISS expectations for a holistic and progressive curriculum that supports pupils’ welfare and development.</w:t>
            </w:r>
          </w:p>
          <w:p w14:paraId="76A7D27C" w14:textId="77777777" w:rsidR="00300A3E" w:rsidRDefault="00300A3E" w:rsidP="00300A3E"/>
          <w:p w14:paraId="3D99080F" w14:textId="1F42D2F7" w:rsidR="00A91203" w:rsidRDefault="00300A3E" w:rsidP="00300A3E">
            <w:pPr>
              <w:pStyle w:val="ListParagraph"/>
              <w:ind w:left="0"/>
            </w:pPr>
            <w:r>
              <w:t>Our wider aim is for students to grow into successful and happy adults who make meaningful contributions to society, including the ability to make responsible, balanced decisions about future careers, in ways that comply with the Equality Act 2010 (promoting inclusion and safeguarding against discrimination) and all relevant health and safety duties under the Health and Safety at Work etc. Act 1974 as applied to schools, in line with ISS requirements for safeguarding, welfare, and safety in the school environment.</w:t>
            </w:r>
          </w:p>
          <w:p w14:paraId="0AEFBBF3" w14:textId="77777777" w:rsidR="0021017D" w:rsidRPr="0021017D" w:rsidRDefault="0021017D" w:rsidP="00583547">
            <w:pPr>
              <w:pStyle w:val="ListParagraph"/>
              <w:ind w:left="0"/>
            </w:pPr>
          </w:p>
        </w:tc>
      </w:tr>
      <w:tr w:rsidR="0021017D" w:rsidRPr="0021017D" w14:paraId="4579EF2F" w14:textId="77777777" w:rsidTr="0021017D">
        <w:tc>
          <w:tcPr>
            <w:tcW w:w="9214" w:type="dxa"/>
          </w:tcPr>
          <w:p w14:paraId="5D2DEA14" w14:textId="704B29E1" w:rsidR="0021017D" w:rsidRPr="0021017D" w:rsidRDefault="00AF6758" w:rsidP="00583547">
            <w:pPr>
              <w:pStyle w:val="ListParagraph"/>
              <w:numPr>
                <w:ilvl w:val="0"/>
                <w:numId w:val="2"/>
              </w:numPr>
              <w:rPr>
                <w:b/>
              </w:rPr>
            </w:pPr>
            <w:r w:rsidRPr="00AF6758">
              <w:rPr>
                <w:b/>
              </w:rPr>
              <w:t>Stautory Requirements</w:t>
            </w:r>
          </w:p>
        </w:tc>
      </w:tr>
      <w:tr w:rsidR="0021017D" w:rsidRPr="0021017D" w14:paraId="33E0918B" w14:textId="77777777" w:rsidTr="0021017D">
        <w:tc>
          <w:tcPr>
            <w:tcW w:w="9214" w:type="dxa"/>
          </w:tcPr>
          <w:p w14:paraId="5ABA1133" w14:textId="77777777" w:rsidR="00AF6758" w:rsidRDefault="00AF6758" w:rsidP="00AF6758">
            <w:pPr>
              <w:pStyle w:val="ListParagraph"/>
            </w:pPr>
            <w:r>
              <w:t xml:space="preserve">Primary: </w:t>
            </w:r>
          </w:p>
          <w:p w14:paraId="68208FE8" w14:textId="284C21BB" w:rsidR="00AF6758" w:rsidRDefault="00AF6758" w:rsidP="00AF6758"/>
          <w:p w14:paraId="443D97F0" w14:textId="77777777" w:rsidR="00AF6758" w:rsidRDefault="00AF6758" w:rsidP="00AF6758">
            <w:r>
              <w:t xml:space="preserve">We must teach relationships education under the Children and Social Work Act 2017, in line with the terms set out in statutory guidance </w:t>
            </w:r>
          </w:p>
          <w:p w14:paraId="72780543" w14:textId="77777777" w:rsidR="00AF6758" w:rsidRDefault="00AF6758" w:rsidP="00AF6758">
            <w:r>
              <w:t xml:space="preserve">We must teach health education under the same statutory guidance </w:t>
            </w:r>
          </w:p>
          <w:p w14:paraId="016ECBA9" w14:textId="77777777" w:rsidR="00AF6758" w:rsidRDefault="00AF6758" w:rsidP="00AF6758">
            <w:pPr>
              <w:pStyle w:val="ListParagraph"/>
            </w:pPr>
          </w:p>
          <w:p w14:paraId="1287D0AA" w14:textId="77777777" w:rsidR="00AF6758" w:rsidRDefault="00AF6758" w:rsidP="00AF6758">
            <w:pPr>
              <w:pStyle w:val="ListParagraph"/>
            </w:pPr>
            <w:r>
              <w:t xml:space="preserve">Secondary: </w:t>
            </w:r>
          </w:p>
          <w:p w14:paraId="7F5CBB0F" w14:textId="77777777" w:rsidR="00AF6758" w:rsidRDefault="00AF6758" w:rsidP="00AF6758">
            <w:pPr>
              <w:pStyle w:val="ListParagraph"/>
            </w:pPr>
          </w:p>
          <w:p w14:paraId="238127B9" w14:textId="77777777" w:rsidR="00AF6758" w:rsidRDefault="00AF6758" w:rsidP="00AF6758">
            <w:r>
              <w:lastRenderedPageBreak/>
              <w:t xml:space="preserve">We must teach relationships and sex education (RSE) under the Children and Social Work Act 2017, in line with the terms set out in statutory guidance </w:t>
            </w:r>
          </w:p>
          <w:p w14:paraId="71D9C9D2" w14:textId="4EDF85EA" w:rsidR="0021017D" w:rsidRDefault="00AF6758" w:rsidP="00AF6758">
            <w:pPr>
              <w:pStyle w:val="ListParagraph"/>
              <w:ind w:left="0"/>
            </w:pPr>
            <w:r>
              <w:t>We must teach health education under the same statutory guidance</w:t>
            </w:r>
          </w:p>
          <w:p w14:paraId="4B205EC5" w14:textId="77777777" w:rsidR="0021017D" w:rsidRPr="0021017D" w:rsidRDefault="0021017D" w:rsidP="00583547">
            <w:pPr>
              <w:pStyle w:val="ListParagraph"/>
              <w:ind w:left="0"/>
            </w:pPr>
          </w:p>
        </w:tc>
      </w:tr>
      <w:tr w:rsidR="0021017D" w:rsidRPr="0021017D" w14:paraId="2CC215D2" w14:textId="77777777" w:rsidTr="0021017D">
        <w:tc>
          <w:tcPr>
            <w:tcW w:w="9214" w:type="dxa"/>
          </w:tcPr>
          <w:p w14:paraId="493C6381" w14:textId="7B27D3EC" w:rsidR="0021017D" w:rsidRPr="0021017D" w:rsidRDefault="00AF6758" w:rsidP="00583547">
            <w:pPr>
              <w:pStyle w:val="ListParagraph"/>
              <w:numPr>
                <w:ilvl w:val="0"/>
                <w:numId w:val="2"/>
              </w:numPr>
              <w:rPr>
                <w:b/>
              </w:rPr>
            </w:pPr>
            <w:r>
              <w:rPr>
                <w:b/>
              </w:rPr>
              <w:lastRenderedPageBreak/>
              <w:t>Curriculum</w:t>
            </w:r>
          </w:p>
        </w:tc>
      </w:tr>
      <w:tr w:rsidR="0021017D" w:rsidRPr="0021017D" w14:paraId="2B962D21" w14:textId="77777777" w:rsidTr="0021017D">
        <w:tc>
          <w:tcPr>
            <w:tcW w:w="9214" w:type="dxa"/>
          </w:tcPr>
          <w:p w14:paraId="7BC67DDB" w14:textId="77777777" w:rsidR="005607AF" w:rsidRDefault="005607AF" w:rsidP="005607AF">
            <w:pPr>
              <w:pStyle w:val="ListParagraph"/>
            </w:pPr>
            <w:r>
              <w:t>In line with the Department for Education (DfE) statutory guidance on Relationships Education, Relationships and Sex Education (RSE) and Health Education, Coxlease School delivers a compulsory PSHE programme. We hold a separate policy for our Relationships and Sex Education curriculum and provide additional information on content and delivery in our RSE policy and at Coxlease School.</w:t>
            </w:r>
          </w:p>
          <w:p w14:paraId="08D73B37" w14:textId="77777777" w:rsidR="005607AF" w:rsidRDefault="005607AF" w:rsidP="005607AF">
            <w:pPr>
              <w:pStyle w:val="ListParagraph"/>
            </w:pPr>
          </w:p>
          <w:p w14:paraId="44075BD0" w14:textId="77777777" w:rsidR="005607AF" w:rsidRDefault="005607AF" w:rsidP="005607AF">
            <w:pPr>
              <w:pStyle w:val="ListParagraph"/>
            </w:pPr>
            <w:r>
              <w:t>The school’s PSHE provision is designed to meet the requirements set out in the statutory guidance for Relationships Education, RSE and Health Education, including the expectation that RSE is age-appropriate, inclusive and delivered with sensitivity to pupils’ needs. We ensure that LGBTQ+ content is integrated in a timely, age-appropriate way in line with current guidance on inclusive practice.</w:t>
            </w:r>
          </w:p>
          <w:p w14:paraId="695A0231" w14:textId="77777777" w:rsidR="005607AF" w:rsidRDefault="005607AF" w:rsidP="005607AF">
            <w:pPr>
              <w:pStyle w:val="ListParagraph"/>
            </w:pPr>
          </w:p>
          <w:p w14:paraId="3D130484" w14:textId="77777777" w:rsidR="005607AF" w:rsidRDefault="005607AF" w:rsidP="005607AF">
            <w:pPr>
              <w:pStyle w:val="ListParagraph"/>
            </w:pPr>
            <w:r>
              <w:t>Our approach aligns with the mature delivery model recommended in the PSHE Thematic Model, as supported by the PSHE association. This model helps ensure our content is relevant and builds pupils’ knowledge, skills and confidence to participate as well-rounded members of the community.</w:t>
            </w:r>
          </w:p>
          <w:p w14:paraId="1DA11951" w14:textId="77777777" w:rsidR="005607AF" w:rsidRDefault="005607AF" w:rsidP="005607AF">
            <w:pPr>
              <w:pStyle w:val="ListParagraph"/>
            </w:pPr>
          </w:p>
          <w:p w14:paraId="4854F857" w14:textId="77777777" w:rsidR="005607AF" w:rsidRDefault="005607AF" w:rsidP="005607AF">
            <w:pPr>
              <w:pStyle w:val="ListParagraph"/>
            </w:pPr>
            <w:r>
              <w:t>Curriculum mapping: Our curriculum map provides a clear, topic-by-topic outline of what is taught, when and how, with reference to the statutory content requirements for Relationships Education/RSE and Health Education. Details of topics, progression and delivery are provided below with explicit links to statutory expectations.</w:t>
            </w:r>
          </w:p>
          <w:p w14:paraId="7EC7F91E" w14:textId="77777777" w:rsidR="005607AF" w:rsidRDefault="005607AF" w:rsidP="005607AF">
            <w:pPr>
              <w:pStyle w:val="ListParagraph"/>
            </w:pPr>
          </w:p>
          <w:p w14:paraId="58ACFA18" w14:textId="77777777" w:rsidR="005607AF" w:rsidRDefault="005607AF" w:rsidP="005607AF">
            <w:pPr>
              <w:pStyle w:val="ListParagraph"/>
            </w:pPr>
            <w:r>
              <w:t>How we deliver PSHE at Coxlease School:</w:t>
            </w:r>
          </w:p>
          <w:p w14:paraId="7F0350D8" w14:textId="77777777" w:rsidR="005607AF" w:rsidRDefault="005607AF" w:rsidP="005607AF">
            <w:pPr>
              <w:pStyle w:val="ListParagraph"/>
            </w:pPr>
          </w:p>
          <w:p w14:paraId="3D415E6A" w14:textId="77777777" w:rsidR="005607AF" w:rsidRDefault="005607AF" w:rsidP="005607AF">
            <w:pPr>
              <w:pStyle w:val="ListParagraph"/>
            </w:pPr>
            <w:r>
              <w:t>PSHE is taught as timetabled lessons, currently one lesson per week (four lessons per four-week cycle, including Citizenship within Key Stage 4), to ensure consistent coverage of Personal, Social, Health and Economic education.</w:t>
            </w:r>
          </w:p>
          <w:p w14:paraId="0FCFCA60" w14:textId="77777777" w:rsidR="005607AF" w:rsidRDefault="005607AF" w:rsidP="005607AF">
            <w:pPr>
              <w:pStyle w:val="ListParagraph"/>
            </w:pPr>
            <w:r>
              <w:t>Citizenship and General Studies (Living in the Wider World) are taught to Key Stage 4 pupils to provide a broader PSHE curriculum, in line with statutory expectations for Health Education and related subjects.</w:t>
            </w:r>
          </w:p>
          <w:p w14:paraId="31936B64" w14:textId="77777777" w:rsidR="005607AF" w:rsidRDefault="005607AF" w:rsidP="005607AF">
            <w:pPr>
              <w:pStyle w:val="ListParagraph"/>
            </w:pPr>
            <w:r>
              <w:t>The school participates in regular whole-school events and charity activities focused on PSHE topics, such as Mental Health Awareness Days, Cancer Research campaigns and Children in Need, to reinforce learning in real-life contexts.</w:t>
            </w:r>
          </w:p>
          <w:p w14:paraId="7F8B9CBD" w14:textId="7514CF63" w:rsidR="005607AF" w:rsidRDefault="005607AF" w:rsidP="005607AF">
            <w:pPr>
              <w:pStyle w:val="ListParagraph"/>
            </w:pPr>
            <w:r>
              <w:t xml:space="preserve">The PSHE curriculum is designed by the PSHE </w:t>
            </w:r>
            <w:r>
              <w:t>teacher</w:t>
            </w:r>
            <w:r>
              <w:t xml:space="preserve"> to meet individual classroom needs and ensure inclusivity for all learners, including those with special educational needs and disabilities (SEND). PSHE lessons are delivered by the PSHE </w:t>
            </w:r>
            <w:r>
              <w:t>teacher</w:t>
            </w:r>
            <w:r>
              <w:t xml:space="preserve"> across both primary and secondary settings; Citizenship and General Studies are planned and delivered by subject specialists as appropriate.</w:t>
            </w:r>
          </w:p>
          <w:p w14:paraId="2A08EE74" w14:textId="77777777" w:rsidR="005607AF" w:rsidRDefault="005607AF" w:rsidP="005607AF">
            <w:pPr>
              <w:pStyle w:val="ListParagraph"/>
            </w:pPr>
            <w:r>
              <w:t>All content is selected and delivered in a safe, supportive climate that promotes discussion of complex or sensitive issues in line with safeguarding principles. PSHE educators play a key role in developing pupils’ knowledge, skills and confidence to approach such topics.</w:t>
            </w:r>
          </w:p>
          <w:p w14:paraId="33B0B248" w14:textId="77777777" w:rsidR="005607AF" w:rsidRDefault="005607AF" w:rsidP="005607AF">
            <w:pPr>
              <w:pStyle w:val="ListParagraph"/>
            </w:pPr>
            <w:r>
              <w:t>Lessons are designed to be engaging and flexible, supported by high-quality resources (books, films, etc.) used to promote understanding within moral/value-based contexts and in alignment with learning objectives.</w:t>
            </w:r>
          </w:p>
          <w:p w14:paraId="1CB43B57" w14:textId="77777777" w:rsidR="005607AF" w:rsidRDefault="005607AF" w:rsidP="005607AF">
            <w:pPr>
              <w:pStyle w:val="ListParagraph"/>
            </w:pPr>
            <w:r>
              <w:lastRenderedPageBreak/>
              <w:t>A baseline assessment task is completed at the start of each lesson (e.g., a recap or assessment of current knowledge) to tailor teaching to pupil needs and ensure appropriate knowledge acquisition.</w:t>
            </w:r>
          </w:p>
          <w:p w14:paraId="49554183" w14:textId="77777777" w:rsidR="005607AF" w:rsidRDefault="005607AF" w:rsidP="005607AF">
            <w:pPr>
              <w:pStyle w:val="ListParagraph"/>
            </w:pPr>
            <w:r>
              <w:t>At the end of each academic year, pupil progress is captured in annual reports in line with our assessment and reporting framework.</w:t>
            </w:r>
          </w:p>
          <w:p w14:paraId="2CCBD77B" w14:textId="66BF0E50" w:rsidR="0021017D" w:rsidRDefault="005607AF" w:rsidP="005607AF">
            <w:pPr>
              <w:pStyle w:val="ListParagraph"/>
              <w:ind w:left="0"/>
            </w:pPr>
            <w:r>
              <w:t>Safeguarding and compliance: Our PSHE delivery adheres to safeguarding requirements outlined in Keeping Children Safe in Education (KCSIE) and related statutory guidance, ensuring that discussions of sensitive topics occur in a safe, supportive environment, and that staff are equipped to respond to safeguarding concerns.</w:t>
            </w:r>
          </w:p>
          <w:p w14:paraId="23165A62" w14:textId="77777777" w:rsidR="0021017D" w:rsidRPr="0021017D" w:rsidRDefault="0021017D" w:rsidP="00583547">
            <w:pPr>
              <w:pStyle w:val="ListParagraph"/>
              <w:ind w:left="0"/>
            </w:pPr>
          </w:p>
        </w:tc>
      </w:tr>
      <w:tr w:rsidR="0021017D" w:rsidRPr="0021017D" w14:paraId="4071A47B" w14:textId="77777777" w:rsidTr="0021017D">
        <w:tc>
          <w:tcPr>
            <w:tcW w:w="9214" w:type="dxa"/>
          </w:tcPr>
          <w:p w14:paraId="3B4E286D" w14:textId="0D34104F" w:rsidR="0021017D" w:rsidRPr="0021017D" w:rsidRDefault="005607AF" w:rsidP="00583547">
            <w:pPr>
              <w:pStyle w:val="ListParagraph"/>
              <w:numPr>
                <w:ilvl w:val="0"/>
                <w:numId w:val="2"/>
              </w:numPr>
              <w:rPr>
                <w:b/>
              </w:rPr>
            </w:pPr>
            <w:r>
              <w:rPr>
                <w:b/>
              </w:rPr>
              <w:lastRenderedPageBreak/>
              <w:t>Roles and responsibilities</w:t>
            </w:r>
          </w:p>
        </w:tc>
      </w:tr>
      <w:tr w:rsidR="0021017D" w:rsidRPr="0021017D" w14:paraId="1E9A0D7D" w14:textId="77777777" w:rsidTr="0021017D">
        <w:tc>
          <w:tcPr>
            <w:tcW w:w="9214" w:type="dxa"/>
          </w:tcPr>
          <w:p w14:paraId="5FF756FC" w14:textId="691C8C55" w:rsidR="005607AF" w:rsidRDefault="005607AF" w:rsidP="005607AF">
            <w:pPr>
              <w:pStyle w:val="ListParagraph"/>
            </w:pPr>
            <w:r>
              <w:t>T</w:t>
            </w:r>
            <w:r>
              <w:t>he PSHE</w:t>
            </w:r>
            <w:r>
              <w:t xml:space="preserve"> Teacher and Assistant Head</w:t>
            </w:r>
          </w:p>
          <w:p w14:paraId="2ED0EEDE" w14:textId="77777777" w:rsidR="005607AF" w:rsidRDefault="005607AF" w:rsidP="005607AF">
            <w:pPr>
              <w:pStyle w:val="ListParagraph"/>
            </w:pPr>
          </w:p>
          <w:p w14:paraId="20689504" w14:textId="48A31BE9" w:rsidR="005607AF" w:rsidRDefault="005607AF" w:rsidP="005607AF">
            <w:pPr>
              <w:pStyle w:val="ListParagraph"/>
            </w:pPr>
            <w:r>
              <w:t xml:space="preserve">The </w:t>
            </w:r>
            <w:r>
              <w:t>Assistant Head</w:t>
            </w:r>
            <w:r>
              <w:t xml:space="preserve"> will be responsible for the production of this policy and </w:t>
            </w:r>
            <w:r>
              <w:t xml:space="preserve">the PSHE teacher </w:t>
            </w:r>
            <w:r>
              <w:t xml:space="preserve">to oversee the planning, delivery and assessments of PSHE across the school. The PSHE </w:t>
            </w:r>
            <w:r>
              <w:t>Teacher</w:t>
            </w:r>
            <w:r>
              <w:t xml:space="preserve"> will ensure the curriculum is kept up to date to maximize the impact of the subject across Coxlease School. Continued professional development through CPD sessions with the relevant professional bodies, such as the PSHE Association, will support in ensuring the programme of study is of the highest standard.  </w:t>
            </w:r>
          </w:p>
          <w:p w14:paraId="6729702D" w14:textId="77777777" w:rsidR="005607AF" w:rsidRDefault="005607AF" w:rsidP="005607AF">
            <w:pPr>
              <w:pStyle w:val="ListParagraph"/>
            </w:pPr>
          </w:p>
          <w:p w14:paraId="3BC15141" w14:textId="77777777" w:rsidR="005607AF" w:rsidRDefault="005607AF" w:rsidP="005607AF">
            <w:pPr>
              <w:pStyle w:val="ListParagraph"/>
            </w:pPr>
            <w:r>
              <w:t xml:space="preserve">The Headteacher/Assistant Head of Curriculum, Teaching &amp; Learning </w:t>
            </w:r>
          </w:p>
          <w:p w14:paraId="0256FB77" w14:textId="77777777" w:rsidR="005607AF" w:rsidRDefault="005607AF" w:rsidP="005607AF">
            <w:pPr>
              <w:pStyle w:val="ListParagraph"/>
            </w:pPr>
          </w:p>
          <w:p w14:paraId="5DF9B754" w14:textId="77777777" w:rsidR="005607AF" w:rsidRDefault="005607AF" w:rsidP="005607AF">
            <w:pPr>
              <w:pStyle w:val="ListParagraph"/>
            </w:pPr>
            <w:r>
              <w:t xml:space="preserve">To support the PSHE Lead, leadership is responsible for directing and liaising with the PSHE lead, to ensure that PSHE is taught consistently across the school. This includes supporting in monitoring the use of planning, delivery, and further opportunities within the programme of study.  </w:t>
            </w:r>
          </w:p>
          <w:p w14:paraId="4FFB0D13" w14:textId="77777777" w:rsidR="005607AF" w:rsidRDefault="005607AF" w:rsidP="005607AF">
            <w:pPr>
              <w:pStyle w:val="ListParagraph"/>
            </w:pPr>
          </w:p>
          <w:p w14:paraId="6D317089" w14:textId="77777777" w:rsidR="005607AF" w:rsidRDefault="005607AF" w:rsidP="005607AF">
            <w:pPr>
              <w:pStyle w:val="ListParagraph"/>
            </w:pPr>
            <w:r>
              <w:t xml:space="preserve">Class Tutors </w:t>
            </w:r>
          </w:p>
          <w:p w14:paraId="1CB7216C" w14:textId="77777777" w:rsidR="005607AF" w:rsidRDefault="005607AF" w:rsidP="005607AF">
            <w:pPr>
              <w:pStyle w:val="ListParagraph"/>
            </w:pPr>
          </w:p>
          <w:p w14:paraId="3889E435" w14:textId="77777777" w:rsidR="005607AF" w:rsidRDefault="005607AF" w:rsidP="005607AF">
            <w:pPr>
              <w:pStyle w:val="ListParagraph"/>
            </w:pPr>
            <w:r>
              <w:t xml:space="preserve">The PSHE lead will deliver pre-planned PSHE lessons during their scheduled PSHE lessons, ensuring that evidence of the pupils’ progress is reflected in verbal feedback, written work, or projects to obtain assessment progress. In the absence of the PSHE Lead Class tutors, or cover teachers are to be responsible for delivering lessons pre-planned by the PSHE Lead. Class tutors may wish to use pupil conferencing as a means of assessing pupils’ understanding, knowledge, and next steps.  </w:t>
            </w:r>
          </w:p>
          <w:p w14:paraId="1D049308" w14:textId="77777777" w:rsidR="005607AF" w:rsidRDefault="005607AF" w:rsidP="005607AF">
            <w:pPr>
              <w:pStyle w:val="ListParagraph"/>
            </w:pPr>
          </w:p>
          <w:p w14:paraId="58899652" w14:textId="1618FEA6" w:rsidR="005607AF" w:rsidRDefault="005607AF" w:rsidP="005607AF">
            <w:pPr>
              <w:pStyle w:val="ListParagraph"/>
            </w:pPr>
            <w:r>
              <w:t xml:space="preserve"> </w:t>
            </w:r>
          </w:p>
          <w:p w14:paraId="3158A66D" w14:textId="77777777" w:rsidR="005607AF" w:rsidRDefault="005607AF" w:rsidP="005607AF">
            <w:pPr>
              <w:pStyle w:val="ListParagraph"/>
            </w:pPr>
            <w:r>
              <w:t xml:space="preserve">Staff are responsible for: </w:t>
            </w:r>
          </w:p>
          <w:p w14:paraId="30F566E2" w14:textId="77777777" w:rsidR="005607AF" w:rsidRDefault="005607AF" w:rsidP="005607AF">
            <w:pPr>
              <w:pStyle w:val="ListParagraph"/>
            </w:pPr>
          </w:p>
          <w:p w14:paraId="21F538B9" w14:textId="487FFAF2" w:rsidR="005607AF" w:rsidRDefault="005607AF" w:rsidP="005607AF">
            <w:pPr>
              <w:pStyle w:val="ListParagraph"/>
            </w:pPr>
            <w:r>
              <w:t xml:space="preserve">Delivering PSHE in a sensitive way </w:t>
            </w:r>
          </w:p>
          <w:p w14:paraId="791A8D11" w14:textId="58C47A4F" w:rsidR="005607AF" w:rsidRDefault="005607AF" w:rsidP="005607AF">
            <w:pPr>
              <w:pStyle w:val="ListParagraph"/>
            </w:pPr>
            <w:r>
              <w:t xml:space="preserve">Modelling positive attitudes to PSHE </w:t>
            </w:r>
          </w:p>
          <w:p w14:paraId="1D8159C5" w14:textId="5FC9597C" w:rsidR="005607AF" w:rsidRDefault="005607AF" w:rsidP="005607AF">
            <w:pPr>
              <w:pStyle w:val="ListParagraph"/>
            </w:pPr>
            <w:r>
              <w:t xml:space="preserve">Monitoring progress </w:t>
            </w:r>
          </w:p>
          <w:p w14:paraId="065D959D" w14:textId="77777777" w:rsidR="005607AF" w:rsidRDefault="005607AF" w:rsidP="005607AF">
            <w:pPr>
              <w:pStyle w:val="ListParagraph"/>
            </w:pPr>
            <w:r>
              <w:t xml:space="preserve">Responding to the needs of individual pupils </w:t>
            </w:r>
          </w:p>
          <w:p w14:paraId="4F41609B" w14:textId="77777777" w:rsidR="005607AF" w:rsidRDefault="005607AF" w:rsidP="005607AF">
            <w:pPr>
              <w:pStyle w:val="ListParagraph"/>
            </w:pPr>
          </w:p>
          <w:p w14:paraId="1A23F978" w14:textId="77777777" w:rsidR="005607AF" w:rsidRDefault="005607AF" w:rsidP="005607AF">
            <w:pPr>
              <w:pStyle w:val="ListParagraph"/>
            </w:pPr>
            <w:r>
              <w:t xml:space="preserve">Pupils </w:t>
            </w:r>
          </w:p>
          <w:p w14:paraId="71263E4B" w14:textId="77777777" w:rsidR="005607AF" w:rsidRDefault="005607AF" w:rsidP="005607AF">
            <w:pPr>
              <w:pStyle w:val="ListParagraph"/>
            </w:pPr>
          </w:p>
          <w:p w14:paraId="5D1AEEBD" w14:textId="1CA38BFF" w:rsidR="005607AF" w:rsidRDefault="005607AF" w:rsidP="005607AF">
            <w:pPr>
              <w:pStyle w:val="ListParagraph"/>
            </w:pPr>
            <w:r>
              <w:t xml:space="preserve">Pupils are expected to engage fully in PSHE and, when discussing issues related to PSHE, treat others with respect and sensitivity. </w:t>
            </w:r>
          </w:p>
          <w:p w14:paraId="7DFC650B" w14:textId="77777777" w:rsidR="005607AF" w:rsidRDefault="005607AF" w:rsidP="005607AF">
            <w:pPr>
              <w:pStyle w:val="ListParagraph"/>
            </w:pPr>
          </w:p>
          <w:p w14:paraId="6D45A6EB" w14:textId="77777777" w:rsidR="005607AF" w:rsidRDefault="005607AF" w:rsidP="005607AF">
            <w:pPr>
              <w:pStyle w:val="ListParagraph"/>
            </w:pPr>
            <w:r>
              <w:t xml:space="preserve">Parents and Carers </w:t>
            </w:r>
          </w:p>
          <w:p w14:paraId="2421728B" w14:textId="77777777" w:rsidR="005607AF" w:rsidRDefault="005607AF" w:rsidP="005607AF">
            <w:pPr>
              <w:pStyle w:val="ListParagraph"/>
            </w:pPr>
          </w:p>
          <w:p w14:paraId="32340B00" w14:textId="77777777" w:rsidR="005607AF" w:rsidRDefault="005607AF" w:rsidP="005607AF">
            <w:pPr>
              <w:pStyle w:val="ListParagraph"/>
            </w:pPr>
            <w:r>
              <w:lastRenderedPageBreak/>
              <w:t xml:space="preserve">Parents and Carers will remain fully informed regarding the content of the school’s PSHE programme. They are encouraged to work alongside the school, giving relevant feedback on how they feel the PSHE programme should be delivered or topics they wish to have covered. Communication through our Coxlease Parent Forum, emailing and contactable by phone allows for our parents/carers to ask questions and have any queries answered that may arise from the curriculum topics. Our Assistant Headteacher of Student and Parent Engagement is on hand to support with fluent and successful communication.  </w:t>
            </w:r>
          </w:p>
          <w:p w14:paraId="1196C3F0" w14:textId="77777777" w:rsidR="005607AF" w:rsidRDefault="005607AF" w:rsidP="005607AF">
            <w:pPr>
              <w:pStyle w:val="ListParagraph"/>
            </w:pPr>
          </w:p>
          <w:p w14:paraId="62BFD614" w14:textId="1086830F" w:rsidR="0021017D" w:rsidRDefault="005607AF" w:rsidP="005607AF">
            <w:pPr>
              <w:pStyle w:val="ListParagraph"/>
              <w:ind w:left="0"/>
            </w:pPr>
            <w:r>
              <w:t xml:space="preserve">Parents’ (or those with parental responsibility) have the right for their children to be excused from the non-science components of sex education up to and until three terms before their 16th birthday. There is no right to withdraw from Relationships education or Health Education. </w:t>
            </w:r>
          </w:p>
          <w:p w14:paraId="74849D78" w14:textId="77777777" w:rsidR="0021017D" w:rsidRPr="0021017D" w:rsidRDefault="0021017D" w:rsidP="00583547">
            <w:pPr>
              <w:pStyle w:val="ListParagraph"/>
              <w:ind w:left="0"/>
            </w:pPr>
          </w:p>
        </w:tc>
      </w:tr>
      <w:tr w:rsidR="0021017D" w:rsidRPr="0021017D" w14:paraId="1A6BC83C" w14:textId="77777777" w:rsidTr="0021017D">
        <w:tc>
          <w:tcPr>
            <w:tcW w:w="9214" w:type="dxa"/>
          </w:tcPr>
          <w:p w14:paraId="170448DB" w14:textId="16199A29" w:rsidR="0021017D" w:rsidRPr="0021017D" w:rsidRDefault="005607AF" w:rsidP="00583547">
            <w:pPr>
              <w:pStyle w:val="ListParagraph"/>
              <w:numPr>
                <w:ilvl w:val="0"/>
                <w:numId w:val="2"/>
              </w:numPr>
              <w:rPr>
                <w:b/>
              </w:rPr>
            </w:pPr>
            <w:r>
              <w:rPr>
                <w:b/>
              </w:rPr>
              <w:lastRenderedPageBreak/>
              <w:t>Monitoring arrangements</w:t>
            </w:r>
          </w:p>
        </w:tc>
      </w:tr>
      <w:tr w:rsidR="0021017D" w:rsidRPr="0021017D" w14:paraId="31175E62" w14:textId="77777777" w:rsidTr="0021017D">
        <w:tc>
          <w:tcPr>
            <w:tcW w:w="9214" w:type="dxa"/>
          </w:tcPr>
          <w:p w14:paraId="512ADD4D" w14:textId="5F369861" w:rsidR="005607AF" w:rsidRDefault="005607AF" w:rsidP="005607AF">
            <w:pPr>
              <w:pStyle w:val="ListParagraph"/>
            </w:pPr>
            <w:r>
              <w:t>The delivery of PSHE is monitored by</w:t>
            </w:r>
            <w:r>
              <w:t xml:space="preserve"> Assistant Head of teaching, Learning and curriculum</w:t>
            </w:r>
            <w:r>
              <w:t xml:space="preserve"> through: </w:t>
            </w:r>
          </w:p>
          <w:p w14:paraId="7478BCB2" w14:textId="77777777" w:rsidR="005607AF" w:rsidRDefault="005607AF" w:rsidP="005607AF">
            <w:pPr>
              <w:pStyle w:val="ListParagraph"/>
            </w:pPr>
          </w:p>
          <w:p w14:paraId="56EBDDD1" w14:textId="77777777" w:rsidR="005607AF" w:rsidRDefault="005607AF" w:rsidP="005607AF">
            <w:pPr>
              <w:pStyle w:val="ListParagraph"/>
              <w:numPr>
                <w:ilvl w:val="0"/>
                <w:numId w:val="18"/>
              </w:numPr>
            </w:pPr>
            <w:r>
              <w:t xml:space="preserve">Learning walks </w:t>
            </w:r>
          </w:p>
          <w:p w14:paraId="31A97D28" w14:textId="77777777" w:rsidR="005607AF" w:rsidRDefault="005607AF" w:rsidP="005607AF">
            <w:pPr>
              <w:pStyle w:val="ListParagraph"/>
            </w:pPr>
          </w:p>
          <w:p w14:paraId="4E334664" w14:textId="77777777" w:rsidR="005607AF" w:rsidRDefault="005607AF" w:rsidP="005607AF">
            <w:pPr>
              <w:pStyle w:val="ListParagraph"/>
              <w:numPr>
                <w:ilvl w:val="0"/>
                <w:numId w:val="18"/>
              </w:numPr>
            </w:pPr>
            <w:r>
              <w:t xml:space="preserve">Book reviews </w:t>
            </w:r>
          </w:p>
          <w:p w14:paraId="20204285" w14:textId="77777777" w:rsidR="005607AF" w:rsidRDefault="005607AF" w:rsidP="005607AF">
            <w:pPr>
              <w:pStyle w:val="ListParagraph"/>
            </w:pPr>
          </w:p>
          <w:p w14:paraId="10A4BA24" w14:textId="77777777" w:rsidR="005607AF" w:rsidRDefault="005607AF" w:rsidP="005607AF">
            <w:pPr>
              <w:pStyle w:val="ListParagraph"/>
              <w:numPr>
                <w:ilvl w:val="0"/>
                <w:numId w:val="18"/>
              </w:numPr>
            </w:pPr>
            <w:r>
              <w:t xml:space="preserve">Regular audits  </w:t>
            </w:r>
          </w:p>
          <w:p w14:paraId="1A85B80B" w14:textId="77777777" w:rsidR="005607AF" w:rsidRDefault="005607AF" w:rsidP="005607AF">
            <w:pPr>
              <w:pStyle w:val="ListParagraph"/>
            </w:pPr>
          </w:p>
          <w:p w14:paraId="33ED74FF" w14:textId="16F243FB" w:rsidR="0021017D" w:rsidRDefault="005607AF" w:rsidP="005607AF">
            <w:pPr>
              <w:pStyle w:val="ListParagraph"/>
              <w:numPr>
                <w:ilvl w:val="0"/>
                <w:numId w:val="18"/>
              </w:numPr>
            </w:pPr>
            <w:r>
              <w:t>Pupil conferencing</w:t>
            </w:r>
          </w:p>
          <w:p w14:paraId="37AE3440" w14:textId="77777777" w:rsidR="0021017D" w:rsidRPr="0021017D" w:rsidRDefault="0021017D" w:rsidP="00583547">
            <w:pPr>
              <w:pStyle w:val="ListParagraph"/>
              <w:ind w:left="0"/>
            </w:pPr>
          </w:p>
        </w:tc>
      </w:tr>
      <w:tr w:rsidR="0021017D" w:rsidRPr="0021017D" w14:paraId="743CA15F" w14:textId="77777777" w:rsidTr="0021017D">
        <w:tc>
          <w:tcPr>
            <w:tcW w:w="9214" w:type="dxa"/>
          </w:tcPr>
          <w:p w14:paraId="688C94FD" w14:textId="0FBA6A88" w:rsidR="0021017D" w:rsidRPr="0021017D" w:rsidRDefault="00932625" w:rsidP="00583547">
            <w:pPr>
              <w:pStyle w:val="ListParagraph"/>
              <w:numPr>
                <w:ilvl w:val="0"/>
                <w:numId w:val="2"/>
              </w:numPr>
              <w:rPr>
                <w:b/>
              </w:rPr>
            </w:pPr>
            <w:r>
              <w:rPr>
                <w:b/>
              </w:rPr>
              <w:t>Delivery</w:t>
            </w:r>
          </w:p>
        </w:tc>
      </w:tr>
      <w:tr w:rsidR="0021017D" w:rsidRPr="0021017D" w14:paraId="309D07B3" w14:textId="77777777" w:rsidTr="0021017D">
        <w:tc>
          <w:tcPr>
            <w:tcW w:w="9214" w:type="dxa"/>
          </w:tcPr>
          <w:p w14:paraId="520A9CFC" w14:textId="77777777" w:rsidR="00932625" w:rsidRDefault="00932625" w:rsidP="00932625">
            <w:pPr>
              <w:pStyle w:val="ListParagraph"/>
            </w:pPr>
            <w:r>
              <w:t>The school will deliver PSHE and related learning in line with current statutory requirements and equality principles. Lessons will be age-appropriate, current to the lived experiences of pupils, and inclusive of gender identity, sexual orientation, disability, ethnicity, culture, religion or belief, age, or other life experiences. This aligns with the Equality Act 2010 and the school’s duties to prevent discrimination and promote equality and diversity. The programme also reflects the statutory requirements for health, relationships, and wellbeing education as described in the Child and Social Work Act 2017 (which introduced Relationships Education in primary and Relationships and Sex Education in secondary, alongside Health Education), and subsequent Department for Education guidance. The PSHE provision will be supported by high-quality, regularly reviewed resources, overseen by the PSHE Lead, and tailored to the needs of our students in line with safeguarding and inclusion expectations.</w:t>
            </w:r>
          </w:p>
          <w:p w14:paraId="7C355991" w14:textId="77777777" w:rsidR="00932625" w:rsidRDefault="00932625" w:rsidP="00932625">
            <w:pPr>
              <w:pStyle w:val="ListParagraph"/>
            </w:pPr>
          </w:p>
          <w:p w14:paraId="25BA10B4" w14:textId="77777777" w:rsidR="00932625" w:rsidRDefault="00932625" w:rsidP="00932625">
            <w:pPr>
              <w:pStyle w:val="ListParagraph"/>
            </w:pPr>
            <w:r>
              <w:t>Pupils will be encouraged to reflect on their learning and progress through class discussion, practical activities, and structured feedback and recap sessions, to develop knowledge, skills, and attributes outlined in the statutory guidance and PSHE Association recommendations.</w:t>
            </w:r>
          </w:p>
          <w:p w14:paraId="6E1F9B23" w14:textId="77777777" w:rsidR="00932625" w:rsidRDefault="00932625" w:rsidP="00932625">
            <w:pPr>
              <w:pStyle w:val="ListParagraph"/>
            </w:pPr>
          </w:p>
          <w:p w14:paraId="4D8F6E12" w14:textId="77777777" w:rsidR="00932625" w:rsidRDefault="00932625" w:rsidP="00932625">
            <w:pPr>
              <w:pStyle w:val="ListParagraph"/>
            </w:pPr>
            <w:r>
              <w:t>Primary:</w:t>
            </w:r>
          </w:p>
          <w:p w14:paraId="127E9929" w14:textId="77777777" w:rsidR="00932625" w:rsidRDefault="00932625" w:rsidP="00932625">
            <w:pPr>
              <w:pStyle w:val="ListParagraph"/>
            </w:pPr>
          </w:p>
          <w:p w14:paraId="1DC66D99" w14:textId="77777777" w:rsidR="00932625" w:rsidRDefault="00932625" w:rsidP="00932625">
            <w:pPr>
              <w:pStyle w:val="ListParagraph"/>
            </w:pPr>
            <w:r>
              <w:t>This programme takes a thematic approach to primary PSHE education, covering all three core themes of the relevant programme of study over the academic year. This approach allows different year groups to explore similar themes in parallel, building a spiral curriculum year on year, while maintaining flexibility in medium-term planning to reflect local context and statutory requirements.</w:t>
            </w:r>
          </w:p>
          <w:p w14:paraId="606746CB" w14:textId="77777777" w:rsidR="00932625" w:rsidRDefault="00932625" w:rsidP="00932625">
            <w:pPr>
              <w:pStyle w:val="ListParagraph"/>
            </w:pPr>
          </w:p>
          <w:p w14:paraId="7513CD22" w14:textId="77777777" w:rsidR="00932625" w:rsidRDefault="00932625" w:rsidP="00932625">
            <w:pPr>
              <w:pStyle w:val="ListParagraph"/>
            </w:pPr>
            <w:r>
              <w:lastRenderedPageBreak/>
              <w:t>(Please see Primary Education Long-Term Overview, PSHE Association, Appendix 1; references: Health Education and Relationships Education obligations under the Education Act 2002/2011 as amended by the Children and Social Work Act 2017)</w:t>
            </w:r>
          </w:p>
          <w:p w14:paraId="13B18711" w14:textId="77777777" w:rsidR="00932625" w:rsidRDefault="00932625" w:rsidP="00932625">
            <w:pPr>
              <w:pStyle w:val="ListParagraph"/>
            </w:pPr>
          </w:p>
          <w:p w14:paraId="1C975871" w14:textId="77777777" w:rsidR="00932625" w:rsidRDefault="00932625" w:rsidP="00932625">
            <w:pPr>
              <w:pStyle w:val="ListParagraph"/>
            </w:pPr>
            <w:r>
              <w:t>Secondary:</w:t>
            </w:r>
          </w:p>
          <w:p w14:paraId="7528A28A" w14:textId="77777777" w:rsidR="00932625" w:rsidRDefault="00932625" w:rsidP="00932625">
            <w:pPr>
              <w:pStyle w:val="ListParagraph"/>
            </w:pPr>
          </w:p>
          <w:p w14:paraId="32F090E1" w14:textId="77777777" w:rsidR="00932625" w:rsidRDefault="00932625" w:rsidP="00932625">
            <w:pPr>
              <w:pStyle w:val="ListParagraph"/>
            </w:pPr>
            <w:r>
              <w:t>This programme takes a thematic approach to secondary PSHE education, covering all three core themes of the programme of study. Content is selected to ensure opportunities to develop knowledge, skills, and attributes through a programme that is relevant and appropriate to the ethos of the school, as well as the statutory requirements for Health Education and Relationships and Sex Education as applicable at the secondary level.</w:t>
            </w:r>
          </w:p>
          <w:p w14:paraId="51F2CE3F" w14:textId="77777777" w:rsidR="00932625" w:rsidRDefault="00932625" w:rsidP="00932625">
            <w:pPr>
              <w:pStyle w:val="ListParagraph"/>
            </w:pPr>
          </w:p>
          <w:p w14:paraId="6ADF1DCD" w14:textId="77777777" w:rsidR="00932625" w:rsidRDefault="00932625" w:rsidP="00932625">
            <w:pPr>
              <w:pStyle w:val="ListParagraph"/>
            </w:pPr>
            <w:r>
              <w:t>(Please see Secondary Education Long-Term Overview, PSHE Association, Appendix 1; references: Health Education and Relationships Education obligations under the Children and Social Work Act 2017)</w:t>
            </w:r>
          </w:p>
          <w:p w14:paraId="0C87364A" w14:textId="77777777" w:rsidR="00932625" w:rsidRDefault="00932625" w:rsidP="00932625">
            <w:pPr>
              <w:pStyle w:val="ListParagraph"/>
            </w:pPr>
          </w:p>
          <w:p w14:paraId="3A3A6F41" w14:textId="77777777" w:rsidR="00932625" w:rsidRDefault="00932625" w:rsidP="00932625">
            <w:pPr>
              <w:pStyle w:val="ListParagraph"/>
            </w:pPr>
            <w:r>
              <w:t>Core Themes for Primary/Secondary:</w:t>
            </w:r>
          </w:p>
          <w:p w14:paraId="6ECAD731" w14:textId="77777777" w:rsidR="00932625" w:rsidRDefault="00932625" w:rsidP="00932625">
            <w:pPr>
              <w:pStyle w:val="ListParagraph"/>
            </w:pPr>
          </w:p>
          <w:p w14:paraId="76AE770C" w14:textId="77777777" w:rsidR="00932625" w:rsidRDefault="00932625" w:rsidP="00932625">
            <w:pPr>
              <w:pStyle w:val="ListParagraph"/>
            </w:pPr>
            <w:r>
              <w:t>Relationships</w:t>
            </w:r>
          </w:p>
          <w:p w14:paraId="1E19F821" w14:textId="77777777" w:rsidR="00932625" w:rsidRDefault="00932625" w:rsidP="00932625">
            <w:pPr>
              <w:pStyle w:val="ListParagraph"/>
            </w:pPr>
            <w:r>
              <w:t>Living in a wider world</w:t>
            </w:r>
          </w:p>
          <w:p w14:paraId="5507B631" w14:textId="2A744EFA" w:rsidR="0021017D" w:rsidRDefault="00932625" w:rsidP="00932625">
            <w:pPr>
              <w:pStyle w:val="ListParagraph"/>
              <w:ind w:left="0"/>
            </w:pPr>
            <w:r>
              <w:t xml:space="preserve">              </w:t>
            </w:r>
            <w:r>
              <w:t>Health and wellbeing</w:t>
            </w:r>
          </w:p>
          <w:p w14:paraId="23E5593C" w14:textId="77777777" w:rsidR="0021017D" w:rsidRPr="0021017D" w:rsidRDefault="0021017D" w:rsidP="00583547">
            <w:pPr>
              <w:pStyle w:val="ListParagraph"/>
              <w:ind w:left="0"/>
            </w:pPr>
          </w:p>
        </w:tc>
      </w:tr>
      <w:tr w:rsidR="0021017D" w:rsidRPr="0021017D" w14:paraId="2A3403C2" w14:textId="77777777" w:rsidTr="0021017D">
        <w:tc>
          <w:tcPr>
            <w:tcW w:w="9214" w:type="dxa"/>
          </w:tcPr>
          <w:p w14:paraId="133D1AA6" w14:textId="09C6421E" w:rsidR="0021017D" w:rsidRPr="0021017D" w:rsidRDefault="00932625" w:rsidP="00583547">
            <w:pPr>
              <w:pStyle w:val="ListParagraph"/>
              <w:numPr>
                <w:ilvl w:val="0"/>
                <w:numId w:val="2"/>
              </w:numPr>
              <w:rPr>
                <w:b/>
              </w:rPr>
            </w:pPr>
            <w:r>
              <w:rPr>
                <w:b/>
              </w:rPr>
              <w:lastRenderedPageBreak/>
              <w:t>Pupil Questions</w:t>
            </w:r>
          </w:p>
        </w:tc>
      </w:tr>
      <w:tr w:rsidR="0021017D" w:rsidRPr="0021017D" w14:paraId="18812309" w14:textId="77777777" w:rsidTr="0021017D">
        <w:tc>
          <w:tcPr>
            <w:tcW w:w="9214" w:type="dxa"/>
          </w:tcPr>
          <w:p w14:paraId="5E99BC47" w14:textId="77777777" w:rsidR="00932625" w:rsidRDefault="00932625" w:rsidP="00932625">
            <w:pPr>
              <w:pStyle w:val="ListParagraph"/>
            </w:pPr>
            <w:r>
              <w:t>Answers and guidance: Teachers will respond to pupils’ questions honestly and clearly, without relying on personal experience. Where topics are debated, answers will strive to present multiple perspectives and sides of the argument. Staff will provide information and guidance, but not directive instructions.</w:t>
            </w:r>
          </w:p>
          <w:p w14:paraId="4AD8D745" w14:textId="77777777" w:rsidR="00932625" w:rsidRDefault="00932625" w:rsidP="00932625">
            <w:pPr>
              <w:pStyle w:val="ListParagraph"/>
            </w:pPr>
          </w:p>
          <w:p w14:paraId="7BC745FC" w14:textId="77777777" w:rsidR="00932625" w:rsidRDefault="00932625" w:rsidP="00932625">
            <w:pPr>
              <w:pStyle w:val="ListParagraph"/>
            </w:pPr>
            <w:r>
              <w:t>Parental involvement: Pupils will be encouraged to discuss conversations with their parents or carers. If pupils are unwilling or unable to do so, Coxlease will offer appropriate support and communicate with families as needed.</w:t>
            </w:r>
          </w:p>
          <w:p w14:paraId="26D4BF2C" w14:textId="77777777" w:rsidR="00932625" w:rsidRDefault="00932625" w:rsidP="00932625">
            <w:pPr>
              <w:pStyle w:val="ListParagraph"/>
            </w:pPr>
          </w:p>
          <w:p w14:paraId="4AB6C0BE" w14:textId="77777777" w:rsidR="00932625" w:rsidRDefault="00932625" w:rsidP="00932625">
            <w:pPr>
              <w:pStyle w:val="ListParagraph"/>
            </w:pPr>
            <w:r>
              <w:t>Anonymous questions: Pupils may submit anonymous questions during scheduled lessons by placing them in a designated box. These questions will be addressed during the lesson. Pupils may also choose to speak with their teacher discreetly after the lesson if they wish.</w:t>
            </w:r>
          </w:p>
          <w:p w14:paraId="600D16FB" w14:textId="77777777" w:rsidR="00932625" w:rsidRDefault="00932625" w:rsidP="00932625">
            <w:pPr>
              <w:pStyle w:val="ListParagraph"/>
            </w:pPr>
          </w:p>
          <w:p w14:paraId="713792D7" w14:textId="77777777" w:rsidR="00932625" w:rsidRDefault="00932625" w:rsidP="00932625">
            <w:pPr>
              <w:pStyle w:val="ListParagraph"/>
            </w:pPr>
            <w:r>
              <w:t>Safeguarding and wellbeing: If a disclosure relates to child protection concerns, the procedures in the Safeguarding Policy will be followed. The PSHE team will collaborate with pastoral staff to support pupils identified as ‘at risk’ through sensitive discussion of topics. Pupils may take a timeout if a topic is distressing; no one will be forced to discuss anything they are uncomfortable with, and support will be offered as needed.</w:t>
            </w:r>
          </w:p>
          <w:p w14:paraId="7C094560" w14:textId="77777777" w:rsidR="00932625" w:rsidRDefault="00932625" w:rsidP="00932625">
            <w:pPr>
              <w:pStyle w:val="ListParagraph"/>
            </w:pPr>
          </w:p>
          <w:p w14:paraId="2880FED2" w14:textId="6081F753" w:rsidR="0021017D" w:rsidRDefault="00932625" w:rsidP="00932625">
            <w:pPr>
              <w:pStyle w:val="ListParagraph"/>
              <w:ind w:left="0"/>
            </w:pPr>
            <w:r>
              <w:t>P</w:t>
            </w:r>
            <w:r>
              <w:t>upil voice and curriculum development: Student feedback will continuously shape and refine the PSHE programme. This includes class feedback, focus groups, and pupil surveys to ensure the content remains relevant, accessible, and responsive to students’ needs.</w:t>
            </w:r>
          </w:p>
          <w:p w14:paraId="77BC93DB" w14:textId="77777777" w:rsidR="0021017D" w:rsidRPr="0021017D" w:rsidRDefault="0021017D" w:rsidP="00583547">
            <w:pPr>
              <w:pStyle w:val="ListParagraph"/>
              <w:ind w:left="0"/>
            </w:pPr>
          </w:p>
        </w:tc>
      </w:tr>
      <w:tr w:rsidR="0021017D" w:rsidRPr="0021017D" w14:paraId="36EE008F" w14:textId="77777777" w:rsidTr="0021017D">
        <w:tc>
          <w:tcPr>
            <w:tcW w:w="9214" w:type="dxa"/>
          </w:tcPr>
          <w:p w14:paraId="2D29C818" w14:textId="662E4FE0" w:rsidR="0021017D" w:rsidRPr="0021017D" w:rsidRDefault="00932625" w:rsidP="00583547">
            <w:pPr>
              <w:pStyle w:val="ListParagraph"/>
              <w:numPr>
                <w:ilvl w:val="0"/>
                <w:numId w:val="2"/>
              </w:numPr>
              <w:rPr>
                <w:b/>
              </w:rPr>
            </w:pPr>
            <w:r>
              <w:rPr>
                <w:b/>
              </w:rPr>
              <w:t>Training</w:t>
            </w:r>
          </w:p>
        </w:tc>
      </w:tr>
      <w:tr w:rsidR="0021017D" w:rsidRPr="0021017D" w14:paraId="0CFFC209" w14:textId="77777777" w:rsidTr="0021017D">
        <w:tc>
          <w:tcPr>
            <w:tcW w:w="9214" w:type="dxa"/>
          </w:tcPr>
          <w:p w14:paraId="11147432" w14:textId="77777777" w:rsidR="00932625" w:rsidRDefault="00932625" w:rsidP="00932625">
            <w:pPr>
              <w:pStyle w:val="ListParagraph"/>
            </w:pPr>
            <w:r>
              <w:t xml:space="preserve">Staff are trained on the delivery of RSE as part of their induction and it is included in our continuing professional development calendar.  </w:t>
            </w:r>
          </w:p>
          <w:p w14:paraId="58BA5603" w14:textId="77777777" w:rsidR="00932625" w:rsidRDefault="00932625" w:rsidP="00932625">
            <w:pPr>
              <w:pStyle w:val="ListParagraph"/>
            </w:pPr>
          </w:p>
          <w:p w14:paraId="63983E7F" w14:textId="75373F4E" w:rsidR="0021017D" w:rsidRDefault="00932625" w:rsidP="00932625">
            <w:pPr>
              <w:pStyle w:val="ListParagraph"/>
              <w:ind w:left="0"/>
            </w:pPr>
            <w:r>
              <w:lastRenderedPageBreak/>
              <w:t xml:space="preserve">The Headteacher/PSHE </w:t>
            </w:r>
            <w:r>
              <w:t>teacher</w:t>
            </w:r>
            <w:r>
              <w:t xml:space="preserve"> will also invite external visitors to support with the delivery of our programme of study, such as school nurses or sexual health professionals. This will allow for further/additional training to all relevant staff.  </w:t>
            </w:r>
          </w:p>
          <w:p w14:paraId="62A27217" w14:textId="77777777" w:rsidR="0021017D" w:rsidRPr="0021017D" w:rsidRDefault="0021017D" w:rsidP="00583547">
            <w:pPr>
              <w:pStyle w:val="ListParagraph"/>
              <w:ind w:left="0"/>
            </w:pPr>
          </w:p>
        </w:tc>
      </w:tr>
      <w:tr w:rsidR="0021017D" w:rsidRPr="0021017D" w14:paraId="4CE0DEDB" w14:textId="77777777" w:rsidTr="0021017D">
        <w:tc>
          <w:tcPr>
            <w:tcW w:w="9214" w:type="dxa"/>
          </w:tcPr>
          <w:p w14:paraId="4AC39967" w14:textId="77777777" w:rsidR="0021017D" w:rsidRPr="0021017D" w:rsidRDefault="0021017D" w:rsidP="00583547">
            <w:pPr>
              <w:pStyle w:val="ListParagraph"/>
              <w:numPr>
                <w:ilvl w:val="0"/>
                <w:numId w:val="2"/>
              </w:numPr>
              <w:rPr>
                <w:b/>
              </w:rPr>
            </w:pPr>
            <w:r w:rsidRPr="0021017D">
              <w:rPr>
                <w:b/>
              </w:rPr>
              <w:lastRenderedPageBreak/>
              <w:t>Section Title</w:t>
            </w:r>
          </w:p>
        </w:tc>
      </w:tr>
      <w:tr w:rsidR="0021017D" w:rsidRPr="0021017D" w14:paraId="66FDA482" w14:textId="77777777" w:rsidTr="0021017D">
        <w:tc>
          <w:tcPr>
            <w:tcW w:w="9214" w:type="dxa"/>
          </w:tcPr>
          <w:p w14:paraId="69D25A9D" w14:textId="77777777" w:rsidR="0021017D" w:rsidRDefault="0021017D" w:rsidP="00583547">
            <w:pPr>
              <w:pStyle w:val="ListParagraph"/>
              <w:ind w:left="0"/>
            </w:pPr>
            <w:r w:rsidRPr="0021017D">
              <w:t>Content</w:t>
            </w:r>
          </w:p>
          <w:p w14:paraId="45EB17D2" w14:textId="77777777" w:rsidR="0021017D" w:rsidRPr="0021017D" w:rsidRDefault="0021017D" w:rsidP="00583547">
            <w:pPr>
              <w:pStyle w:val="ListParagraph"/>
              <w:ind w:left="0"/>
            </w:pPr>
          </w:p>
        </w:tc>
      </w:tr>
      <w:tr w:rsidR="0021017D" w:rsidRPr="0021017D" w14:paraId="42D0475C" w14:textId="77777777" w:rsidTr="0021017D">
        <w:tc>
          <w:tcPr>
            <w:tcW w:w="9214" w:type="dxa"/>
          </w:tcPr>
          <w:p w14:paraId="2B9D0B89" w14:textId="77777777" w:rsidR="0021017D" w:rsidRPr="0021017D" w:rsidRDefault="0021017D" w:rsidP="00583547">
            <w:pPr>
              <w:pStyle w:val="ListParagraph"/>
              <w:numPr>
                <w:ilvl w:val="0"/>
                <w:numId w:val="2"/>
              </w:numPr>
              <w:rPr>
                <w:b/>
              </w:rPr>
            </w:pPr>
            <w:r w:rsidRPr="0021017D">
              <w:rPr>
                <w:b/>
              </w:rPr>
              <w:t>Section Title</w:t>
            </w:r>
          </w:p>
        </w:tc>
      </w:tr>
      <w:tr w:rsidR="0021017D" w:rsidRPr="0021017D" w14:paraId="08D76A52" w14:textId="77777777" w:rsidTr="0021017D">
        <w:tc>
          <w:tcPr>
            <w:tcW w:w="9214" w:type="dxa"/>
          </w:tcPr>
          <w:p w14:paraId="4B4E5DED" w14:textId="77777777" w:rsidR="0021017D" w:rsidRDefault="0021017D" w:rsidP="00583547">
            <w:pPr>
              <w:pStyle w:val="ListParagraph"/>
              <w:ind w:left="0"/>
            </w:pPr>
            <w:r w:rsidRPr="0021017D">
              <w:t>Content</w:t>
            </w:r>
          </w:p>
          <w:p w14:paraId="18762E35" w14:textId="77777777" w:rsidR="0021017D" w:rsidRPr="0021017D" w:rsidRDefault="0021017D" w:rsidP="00583547">
            <w:pPr>
              <w:pStyle w:val="ListParagraph"/>
              <w:ind w:left="0"/>
            </w:pPr>
          </w:p>
        </w:tc>
      </w:tr>
    </w:tbl>
    <w:p w14:paraId="4B166EB5" w14:textId="77777777" w:rsidR="00847CED" w:rsidRDefault="00847CED" w:rsidP="00847CED">
      <w:pPr>
        <w:pStyle w:val="ListParagraph"/>
        <w:rPr>
          <w:b/>
        </w:rPr>
      </w:pPr>
    </w:p>
    <w:p w14:paraId="36A1E1F5" w14:textId="77777777" w:rsidR="000B61CD" w:rsidRDefault="000B61CD">
      <w:pPr>
        <w:rPr>
          <w:b/>
        </w:rPr>
      </w:pPr>
      <w:r>
        <w:rPr>
          <w:b/>
        </w:rPr>
        <w:br w:type="page"/>
      </w:r>
    </w:p>
    <w:p w14:paraId="7B66436D" w14:textId="77777777" w:rsidR="00847CED" w:rsidRDefault="00847CED"/>
    <w:tbl>
      <w:tblPr>
        <w:tblStyle w:val="TableGrid"/>
        <w:tblW w:w="0" w:type="auto"/>
        <w:tblLook w:val="04A0" w:firstRow="1" w:lastRow="0" w:firstColumn="1" w:lastColumn="0" w:noHBand="0" w:noVBand="1"/>
      </w:tblPr>
      <w:tblGrid>
        <w:gridCol w:w="4137"/>
        <w:gridCol w:w="395"/>
        <w:gridCol w:w="4143"/>
        <w:gridCol w:w="341"/>
      </w:tblGrid>
      <w:tr w:rsidR="00847CED" w:rsidRPr="003F7118" w14:paraId="2C8CA4BE" w14:textId="77777777" w:rsidTr="003F7118">
        <w:tc>
          <w:tcPr>
            <w:tcW w:w="9016" w:type="dxa"/>
            <w:gridSpan w:val="4"/>
            <w:shd w:val="clear" w:color="auto" w:fill="C6D9F1" w:themeFill="text2" w:themeFillTint="33"/>
          </w:tcPr>
          <w:p w14:paraId="1D359B1F" w14:textId="15BDD9D0" w:rsidR="00847CED" w:rsidRPr="003F7118" w:rsidRDefault="00847CED">
            <w:pPr>
              <w:rPr>
                <w:b/>
              </w:rPr>
            </w:pPr>
            <w:r w:rsidRPr="003F7118">
              <w:rPr>
                <w:b/>
              </w:rPr>
              <w:t>Contents Checklist (Local S</w:t>
            </w:r>
            <w:r w:rsidR="00CA15C8" w:rsidRPr="003F7118">
              <w:rPr>
                <w:b/>
              </w:rPr>
              <w:t>ervice</w:t>
            </w:r>
            <w:r w:rsidRPr="003F7118">
              <w:rPr>
                <w:b/>
              </w:rPr>
              <w:t>s may add additional items – this is a core list)</w:t>
            </w:r>
          </w:p>
        </w:tc>
      </w:tr>
      <w:tr w:rsidR="00784DBC" w:rsidRPr="003F7118" w14:paraId="163D96B9" w14:textId="77777777" w:rsidTr="003F7118">
        <w:tc>
          <w:tcPr>
            <w:tcW w:w="4137" w:type="dxa"/>
          </w:tcPr>
          <w:p w14:paraId="2A98D482" w14:textId="3A127D29" w:rsidR="00F21E60" w:rsidRPr="003F7118" w:rsidRDefault="003863AB">
            <w:pPr>
              <w:rPr>
                <w:bCs/>
              </w:rPr>
            </w:pPr>
            <w:r w:rsidRPr="003F7118">
              <w:rPr>
                <w:bCs/>
              </w:rPr>
              <w:t>Rationale underpinning the curriculum</w:t>
            </w:r>
            <w:r w:rsidR="008B35B0" w:rsidRPr="003F7118">
              <w:rPr>
                <w:bCs/>
              </w:rPr>
              <w:t xml:space="preserve"> – </w:t>
            </w:r>
            <w:r w:rsidR="004B3015">
              <w:rPr>
                <w:bCs/>
              </w:rPr>
              <w:t>design</w:t>
            </w:r>
            <w:r w:rsidR="008B35B0" w:rsidRPr="003F7118">
              <w:rPr>
                <w:bCs/>
              </w:rPr>
              <w:t xml:space="preserve">, </w:t>
            </w:r>
            <w:r w:rsidR="003C4263">
              <w:rPr>
                <w:bCs/>
              </w:rPr>
              <w:t>delivery and i</w:t>
            </w:r>
            <w:r w:rsidR="008B35B0" w:rsidRPr="003F7118">
              <w:rPr>
                <w:bCs/>
              </w:rPr>
              <w:t>mpact</w:t>
            </w:r>
          </w:p>
        </w:tc>
        <w:tc>
          <w:tcPr>
            <w:tcW w:w="395" w:type="dxa"/>
          </w:tcPr>
          <w:p w14:paraId="441D3DA4" w14:textId="77777777" w:rsidR="00847CED" w:rsidRPr="003F7118" w:rsidRDefault="00847CED">
            <w:pPr>
              <w:rPr>
                <w:bCs/>
              </w:rPr>
            </w:pPr>
          </w:p>
        </w:tc>
        <w:tc>
          <w:tcPr>
            <w:tcW w:w="4143" w:type="dxa"/>
          </w:tcPr>
          <w:p w14:paraId="30D2A22F" w14:textId="511E679E" w:rsidR="002E7BC7" w:rsidRPr="003F7118" w:rsidRDefault="002E7BC7" w:rsidP="00FE1B0D">
            <w:pPr>
              <w:rPr>
                <w:bCs/>
              </w:rPr>
            </w:pPr>
          </w:p>
        </w:tc>
        <w:tc>
          <w:tcPr>
            <w:tcW w:w="341" w:type="dxa"/>
          </w:tcPr>
          <w:p w14:paraId="1BA4A43E" w14:textId="77777777" w:rsidR="00847CED" w:rsidRPr="003F7118" w:rsidRDefault="00847CED">
            <w:pPr>
              <w:rPr>
                <w:bCs/>
              </w:rPr>
            </w:pPr>
          </w:p>
        </w:tc>
      </w:tr>
      <w:tr w:rsidR="003F7118" w:rsidRPr="003F7118" w14:paraId="27C1867C" w14:textId="77777777" w:rsidTr="003F7118">
        <w:tc>
          <w:tcPr>
            <w:tcW w:w="4137" w:type="dxa"/>
          </w:tcPr>
          <w:p w14:paraId="7C7B7749" w14:textId="2D390B65" w:rsidR="003F7118" w:rsidRPr="003F7118" w:rsidRDefault="003F7118">
            <w:pPr>
              <w:rPr>
                <w:bCs/>
              </w:rPr>
            </w:pPr>
            <w:r w:rsidRPr="003F7118">
              <w:rPr>
                <w:bCs/>
              </w:rPr>
              <w:t>Reference the ISS</w:t>
            </w:r>
          </w:p>
        </w:tc>
        <w:tc>
          <w:tcPr>
            <w:tcW w:w="395" w:type="dxa"/>
          </w:tcPr>
          <w:p w14:paraId="279C2B20" w14:textId="77777777" w:rsidR="003F7118" w:rsidRPr="003F7118" w:rsidRDefault="003F7118">
            <w:pPr>
              <w:rPr>
                <w:bCs/>
              </w:rPr>
            </w:pPr>
          </w:p>
        </w:tc>
        <w:tc>
          <w:tcPr>
            <w:tcW w:w="4143" w:type="dxa"/>
          </w:tcPr>
          <w:p w14:paraId="2D2F2AFD" w14:textId="741E9CA9" w:rsidR="003F7118" w:rsidRPr="003F7118" w:rsidRDefault="003F7118" w:rsidP="00FE1B0D">
            <w:pPr>
              <w:rPr>
                <w:bCs/>
              </w:rPr>
            </w:pPr>
          </w:p>
        </w:tc>
        <w:tc>
          <w:tcPr>
            <w:tcW w:w="341" w:type="dxa"/>
          </w:tcPr>
          <w:p w14:paraId="059106E1" w14:textId="77777777" w:rsidR="003F7118" w:rsidRPr="003F7118" w:rsidRDefault="003F7118">
            <w:pPr>
              <w:rPr>
                <w:bCs/>
              </w:rPr>
            </w:pPr>
          </w:p>
        </w:tc>
      </w:tr>
      <w:tr w:rsidR="003F7118" w:rsidRPr="003F7118" w14:paraId="531A4082" w14:textId="77777777" w:rsidTr="003F7118">
        <w:tc>
          <w:tcPr>
            <w:tcW w:w="4137" w:type="dxa"/>
          </w:tcPr>
          <w:p w14:paraId="71B23BC7" w14:textId="5316E84C" w:rsidR="003F7118" w:rsidRPr="003F7118" w:rsidRDefault="003F7118">
            <w:pPr>
              <w:rPr>
                <w:bCs/>
              </w:rPr>
            </w:pPr>
            <w:r w:rsidRPr="003F7118">
              <w:rPr>
                <w:bCs/>
              </w:rPr>
              <w:t>Purpose and Scope, Aims and Vision of the curriculum</w:t>
            </w:r>
          </w:p>
        </w:tc>
        <w:tc>
          <w:tcPr>
            <w:tcW w:w="395" w:type="dxa"/>
          </w:tcPr>
          <w:p w14:paraId="5DAC3FD8" w14:textId="77777777" w:rsidR="003F7118" w:rsidRPr="003F7118" w:rsidRDefault="003F7118">
            <w:pPr>
              <w:rPr>
                <w:bCs/>
              </w:rPr>
            </w:pPr>
          </w:p>
        </w:tc>
        <w:tc>
          <w:tcPr>
            <w:tcW w:w="4143" w:type="dxa"/>
          </w:tcPr>
          <w:p w14:paraId="341A39BB" w14:textId="556CE66C" w:rsidR="003F7118" w:rsidRPr="003F7118" w:rsidRDefault="003F7118" w:rsidP="00FE1B0D">
            <w:pPr>
              <w:rPr>
                <w:bCs/>
              </w:rPr>
            </w:pPr>
          </w:p>
        </w:tc>
        <w:tc>
          <w:tcPr>
            <w:tcW w:w="341" w:type="dxa"/>
          </w:tcPr>
          <w:p w14:paraId="6D2582DD" w14:textId="77777777" w:rsidR="003F7118" w:rsidRPr="003F7118" w:rsidRDefault="003F7118">
            <w:pPr>
              <w:rPr>
                <w:bCs/>
              </w:rPr>
            </w:pPr>
          </w:p>
        </w:tc>
      </w:tr>
      <w:tr w:rsidR="00784DBC" w:rsidRPr="003F7118" w14:paraId="38BE961C" w14:textId="77777777" w:rsidTr="003F7118">
        <w:tc>
          <w:tcPr>
            <w:tcW w:w="4137" w:type="dxa"/>
          </w:tcPr>
          <w:p w14:paraId="53CBF386" w14:textId="535D9F31" w:rsidR="00847CED" w:rsidRPr="003F7118" w:rsidRDefault="00F21E60">
            <w:pPr>
              <w:rPr>
                <w:bCs/>
              </w:rPr>
            </w:pPr>
            <w:r w:rsidRPr="003F7118">
              <w:rPr>
                <w:bCs/>
              </w:rPr>
              <w:t>Local Context</w:t>
            </w:r>
          </w:p>
        </w:tc>
        <w:tc>
          <w:tcPr>
            <w:tcW w:w="395" w:type="dxa"/>
          </w:tcPr>
          <w:p w14:paraId="524A3DFC" w14:textId="77777777" w:rsidR="00847CED" w:rsidRPr="003F7118" w:rsidRDefault="00847CED">
            <w:pPr>
              <w:rPr>
                <w:bCs/>
              </w:rPr>
            </w:pPr>
          </w:p>
        </w:tc>
        <w:tc>
          <w:tcPr>
            <w:tcW w:w="4143" w:type="dxa"/>
          </w:tcPr>
          <w:p w14:paraId="0538D261" w14:textId="4DD08DC8" w:rsidR="00847CED" w:rsidRPr="003F7118" w:rsidRDefault="00847CED" w:rsidP="00DC1DFA">
            <w:pPr>
              <w:rPr>
                <w:bCs/>
              </w:rPr>
            </w:pPr>
          </w:p>
        </w:tc>
        <w:tc>
          <w:tcPr>
            <w:tcW w:w="341" w:type="dxa"/>
          </w:tcPr>
          <w:p w14:paraId="6FEB80F1" w14:textId="77777777" w:rsidR="00847CED" w:rsidRPr="003F7118" w:rsidRDefault="00847CED">
            <w:pPr>
              <w:rPr>
                <w:bCs/>
              </w:rPr>
            </w:pPr>
          </w:p>
        </w:tc>
      </w:tr>
      <w:tr w:rsidR="00784DBC" w:rsidRPr="003F7118" w14:paraId="4D3063E4" w14:textId="77777777" w:rsidTr="003F7118">
        <w:tc>
          <w:tcPr>
            <w:tcW w:w="4137" w:type="dxa"/>
          </w:tcPr>
          <w:p w14:paraId="0291940E" w14:textId="3FEBE7CC" w:rsidR="00847CED" w:rsidRPr="003F7118" w:rsidRDefault="003863AB">
            <w:pPr>
              <w:rPr>
                <w:bCs/>
              </w:rPr>
            </w:pPr>
            <w:r w:rsidRPr="003F7118">
              <w:rPr>
                <w:bCs/>
              </w:rPr>
              <w:t>Reference qualifications and outcomes supported by the curriculum</w:t>
            </w:r>
          </w:p>
        </w:tc>
        <w:tc>
          <w:tcPr>
            <w:tcW w:w="395" w:type="dxa"/>
          </w:tcPr>
          <w:p w14:paraId="25E9956F" w14:textId="77777777" w:rsidR="00847CED" w:rsidRPr="003F7118" w:rsidRDefault="00847CED">
            <w:pPr>
              <w:rPr>
                <w:bCs/>
              </w:rPr>
            </w:pPr>
          </w:p>
        </w:tc>
        <w:tc>
          <w:tcPr>
            <w:tcW w:w="4143" w:type="dxa"/>
          </w:tcPr>
          <w:p w14:paraId="0D168D95" w14:textId="1A35E75A" w:rsidR="00847CED" w:rsidRPr="003F7118" w:rsidRDefault="00847CED">
            <w:pPr>
              <w:rPr>
                <w:bCs/>
              </w:rPr>
            </w:pPr>
          </w:p>
        </w:tc>
        <w:tc>
          <w:tcPr>
            <w:tcW w:w="341" w:type="dxa"/>
          </w:tcPr>
          <w:p w14:paraId="354257D5" w14:textId="77777777" w:rsidR="00847CED" w:rsidRPr="003F7118" w:rsidRDefault="00847CED">
            <w:pPr>
              <w:rPr>
                <w:bCs/>
              </w:rPr>
            </w:pPr>
          </w:p>
        </w:tc>
      </w:tr>
      <w:tr w:rsidR="00784DBC" w:rsidRPr="003F7118" w14:paraId="5370F743" w14:textId="77777777" w:rsidTr="003F7118">
        <w:tc>
          <w:tcPr>
            <w:tcW w:w="4137" w:type="dxa"/>
          </w:tcPr>
          <w:p w14:paraId="5474EFAD" w14:textId="2209F9B0" w:rsidR="00847CED" w:rsidRPr="003F7118" w:rsidRDefault="00E65D9B" w:rsidP="008B35B0">
            <w:pPr>
              <w:rPr>
                <w:bCs/>
              </w:rPr>
            </w:pPr>
            <w:r w:rsidRPr="003F7118">
              <w:rPr>
                <w:bCs/>
              </w:rPr>
              <w:t xml:space="preserve">Curriculum </w:t>
            </w:r>
            <w:r w:rsidR="00784DBC" w:rsidRPr="003F7118">
              <w:rPr>
                <w:bCs/>
              </w:rPr>
              <w:t>Structure</w:t>
            </w:r>
          </w:p>
        </w:tc>
        <w:tc>
          <w:tcPr>
            <w:tcW w:w="395" w:type="dxa"/>
          </w:tcPr>
          <w:p w14:paraId="251BB57D" w14:textId="77777777" w:rsidR="00847CED" w:rsidRPr="003F7118" w:rsidRDefault="00847CED">
            <w:pPr>
              <w:rPr>
                <w:bCs/>
              </w:rPr>
            </w:pPr>
          </w:p>
        </w:tc>
        <w:tc>
          <w:tcPr>
            <w:tcW w:w="4143" w:type="dxa"/>
          </w:tcPr>
          <w:p w14:paraId="330E36A1" w14:textId="20F92DD5" w:rsidR="00847CED" w:rsidRPr="003F7118" w:rsidRDefault="00847CED">
            <w:pPr>
              <w:rPr>
                <w:bCs/>
              </w:rPr>
            </w:pPr>
          </w:p>
        </w:tc>
        <w:tc>
          <w:tcPr>
            <w:tcW w:w="341" w:type="dxa"/>
          </w:tcPr>
          <w:p w14:paraId="43529D7F" w14:textId="77777777" w:rsidR="00847CED" w:rsidRPr="003F7118" w:rsidRDefault="00847CED">
            <w:pPr>
              <w:rPr>
                <w:bCs/>
              </w:rPr>
            </w:pPr>
          </w:p>
        </w:tc>
      </w:tr>
      <w:tr w:rsidR="00784DBC" w:rsidRPr="003F7118" w14:paraId="1AE3F31C" w14:textId="77777777" w:rsidTr="003F7118">
        <w:tc>
          <w:tcPr>
            <w:tcW w:w="4137" w:type="dxa"/>
          </w:tcPr>
          <w:p w14:paraId="2FCAB549" w14:textId="578D276C" w:rsidR="00847CED" w:rsidRPr="003F7118" w:rsidRDefault="00784DBC">
            <w:pPr>
              <w:rPr>
                <w:bCs/>
              </w:rPr>
            </w:pPr>
            <w:r w:rsidRPr="003F7118">
              <w:rPr>
                <w:bCs/>
              </w:rPr>
              <w:t>Progression and Adaptations</w:t>
            </w:r>
          </w:p>
        </w:tc>
        <w:tc>
          <w:tcPr>
            <w:tcW w:w="395" w:type="dxa"/>
          </w:tcPr>
          <w:p w14:paraId="0E99733C" w14:textId="77777777" w:rsidR="00847CED" w:rsidRPr="003F7118" w:rsidRDefault="00847CED">
            <w:pPr>
              <w:rPr>
                <w:bCs/>
              </w:rPr>
            </w:pPr>
          </w:p>
        </w:tc>
        <w:tc>
          <w:tcPr>
            <w:tcW w:w="4143" w:type="dxa"/>
          </w:tcPr>
          <w:p w14:paraId="2FE683BD" w14:textId="125FF875" w:rsidR="00847CED" w:rsidRPr="003F7118" w:rsidRDefault="00847CED">
            <w:pPr>
              <w:rPr>
                <w:bCs/>
              </w:rPr>
            </w:pPr>
          </w:p>
        </w:tc>
        <w:tc>
          <w:tcPr>
            <w:tcW w:w="341" w:type="dxa"/>
          </w:tcPr>
          <w:p w14:paraId="3958B351" w14:textId="77777777" w:rsidR="00847CED" w:rsidRPr="003F7118" w:rsidRDefault="00847CED">
            <w:pPr>
              <w:rPr>
                <w:bCs/>
              </w:rPr>
            </w:pPr>
          </w:p>
        </w:tc>
      </w:tr>
      <w:tr w:rsidR="00784DBC" w:rsidRPr="003F7118" w14:paraId="1C53FE63" w14:textId="77777777" w:rsidTr="003F7118">
        <w:tc>
          <w:tcPr>
            <w:tcW w:w="4137" w:type="dxa"/>
          </w:tcPr>
          <w:p w14:paraId="35F233FE" w14:textId="30302A25" w:rsidR="00847CED" w:rsidRPr="003F7118" w:rsidRDefault="009116DB">
            <w:pPr>
              <w:rPr>
                <w:bCs/>
              </w:rPr>
            </w:pPr>
            <w:r w:rsidRPr="003F7118">
              <w:rPr>
                <w:bCs/>
              </w:rPr>
              <w:t xml:space="preserve">Assessment </w:t>
            </w:r>
            <w:r w:rsidR="00DC1DFA">
              <w:rPr>
                <w:bCs/>
              </w:rPr>
              <w:t xml:space="preserve"> and tracking</w:t>
            </w:r>
          </w:p>
        </w:tc>
        <w:tc>
          <w:tcPr>
            <w:tcW w:w="395" w:type="dxa"/>
          </w:tcPr>
          <w:p w14:paraId="27C1614E" w14:textId="77777777" w:rsidR="00847CED" w:rsidRPr="003F7118" w:rsidRDefault="00847CED">
            <w:pPr>
              <w:rPr>
                <w:bCs/>
              </w:rPr>
            </w:pPr>
          </w:p>
        </w:tc>
        <w:tc>
          <w:tcPr>
            <w:tcW w:w="4143" w:type="dxa"/>
          </w:tcPr>
          <w:p w14:paraId="40BEB27F" w14:textId="06CB5D33" w:rsidR="00847CED" w:rsidRPr="003F7118" w:rsidRDefault="00847CED">
            <w:pPr>
              <w:rPr>
                <w:bCs/>
              </w:rPr>
            </w:pPr>
          </w:p>
        </w:tc>
        <w:tc>
          <w:tcPr>
            <w:tcW w:w="341" w:type="dxa"/>
          </w:tcPr>
          <w:p w14:paraId="6ED27EB6" w14:textId="77777777" w:rsidR="00847CED" w:rsidRPr="003F7118" w:rsidRDefault="00847CED">
            <w:pPr>
              <w:rPr>
                <w:bCs/>
              </w:rPr>
            </w:pPr>
          </w:p>
        </w:tc>
      </w:tr>
      <w:tr w:rsidR="00784DBC" w:rsidRPr="003F7118" w14:paraId="6E47CFB0" w14:textId="77777777" w:rsidTr="003F7118">
        <w:tc>
          <w:tcPr>
            <w:tcW w:w="4137" w:type="dxa"/>
          </w:tcPr>
          <w:p w14:paraId="5D52CF97" w14:textId="691417C6" w:rsidR="00847CED" w:rsidRPr="003F7118" w:rsidRDefault="00A372C0">
            <w:pPr>
              <w:rPr>
                <w:bCs/>
              </w:rPr>
            </w:pPr>
            <w:r w:rsidRPr="003F7118">
              <w:rPr>
                <w:bCs/>
              </w:rPr>
              <w:t>Stakeholder Engagement</w:t>
            </w:r>
          </w:p>
        </w:tc>
        <w:tc>
          <w:tcPr>
            <w:tcW w:w="395" w:type="dxa"/>
          </w:tcPr>
          <w:p w14:paraId="4CF2B377" w14:textId="77777777" w:rsidR="00847CED" w:rsidRPr="003F7118" w:rsidRDefault="00847CED">
            <w:pPr>
              <w:rPr>
                <w:bCs/>
              </w:rPr>
            </w:pPr>
          </w:p>
        </w:tc>
        <w:tc>
          <w:tcPr>
            <w:tcW w:w="4143" w:type="dxa"/>
          </w:tcPr>
          <w:p w14:paraId="15DBAD61" w14:textId="42C325F3" w:rsidR="00847CED" w:rsidRPr="003F7118" w:rsidRDefault="00847CED">
            <w:pPr>
              <w:rPr>
                <w:bCs/>
              </w:rPr>
            </w:pPr>
          </w:p>
        </w:tc>
        <w:tc>
          <w:tcPr>
            <w:tcW w:w="341" w:type="dxa"/>
          </w:tcPr>
          <w:p w14:paraId="27973137" w14:textId="77777777" w:rsidR="00847CED" w:rsidRPr="003F7118" w:rsidRDefault="00847CED">
            <w:pPr>
              <w:rPr>
                <w:bCs/>
              </w:rPr>
            </w:pPr>
          </w:p>
        </w:tc>
      </w:tr>
      <w:tr w:rsidR="003F7118" w:rsidRPr="003F7118" w14:paraId="5625D62C" w14:textId="77777777" w:rsidTr="003F7118">
        <w:tc>
          <w:tcPr>
            <w:tcW w:w="4137" w:type="dxa"/>
          </w:tcPr>
          <w:p w14:paraId="324A07DA" w14:textId="3538B530" w:rsidR="003F7118" w:rsidRPr="003F7118" w:rsidRDefault="003F7118" w:rsidP="003F7118">
            <w:pPr>
              <w:rPr>
                <w:bCs/>
              </w:rPr>
            </w:pPr>
            <w:r w:rsidRPr="003F7118">
              <w:rPr>
                <w:bCs/>
              </w:rPr>
              <w:t>Reference qualifications and outcomes supported by the curriculum</w:t>
            </w:r>
          </w:p>
        </w:tc>
        <w:tc>
          <w:tcPr>
            <w:tcW w:w="395" w:type="dxa"/>
          </w:tcPr>
          <w:p w14:paraId="5D1C0518" w14:textId="77777777" w:rsidR="003F7118" w:rsidRPr="003F7118" w:rsidRDefault="003F7118" w:rsidP="003F7118">
            <w:pPr>
              <w:rPr>
                <w:bCs/>
              </w:rPr>
            </w:pPr>
          </w:p>
        </w:tc>
        <w:tc>
          <w:tcPr>
            <w:tcW w:w="4143" w:type="dxa"/>
          </w:tcPr>
          <w:p w14:paraId="16FC4DD3" w14:textId="5393AC80" w:rsidR="003F7118" w:rsidRPr="003F7118" w:rsidRDefault="003F7118" w:rsidP="003F7118">
            <w:pPr>
              <w:rPr>
                <w:bCs/>
              </w:rPr>
            </w:pPr>
          </w:p>
        </w:tc>
        <w:tc>
          <w:tcPr>
            <w:tcW w:w="341" w:type="dxa"/>
          </w:tcPr>
          <w:p w14:paraId="684264E7" w14:textId="77777777" w:rsidR="003F7118" w:rsidRPr="003F7118" w:rsidRDefault="003F7118" w:rsidP="003F7118">
            <w:pPr>
              <w:rPr>
                <w:bCs/>
              </w:rPr>
            </w:pPr>
          </w:p>
        </w:tc>
      </w:tr>
      <w:tr w:rsidR="003F7118" w:rsidRPr="003F7118" w14:paraId="2D7C03B2" w14:textId="77777777" w:rsidTr="003F7118">
        <w:tc>
          <w:tcPr>
            <w:tcW w:w="4137" w:type="dxa"/>
          </w:tcPr>
          <w:p w14:paraId="54CC6C2E" w14:textId="6FD8A673" w:rsidR="003F7118" w:rsidRPr="003F7118" w:rsidRDefault="006004AA" w:rsidP="003F7118">
            <w:pPr>
              <w:rPr>
                <w:bCs/>
              </w:rPr>
            </w:pPr>
            <w:r>
              <w:rPr>
                <w:bCs/>
              </w:rPr>
              <w:t>Personal development</w:t>
            </w:r>
          </w:p>
        </w:tc>
        <w:tc>
          <w:tcPr>
            <w:tcW w:w="395" w:type="dxa"/>
          </w:tcPr>
          <w:p w14:paraId="415F0A83" w14:textId="77777777" w:rsidR="003F7118" w:rsidRPr="003F7118" w:rsidRDefault="003F7118" w:rsidP="003F7118">
            <w:pPr>
              <w:rPr>
                <w:bCs/>
              </w:rPr>
            </w:pPr>
          </w:p>
        </w:tc>
        <w:tc>
          <w:tcPr>
            <w:tcW w:w="4143" w:type="dxa"/>
          </w:tcPr>
          <w:p w14:paraId="76230958" w14:textId="0559E1C8" w:rsidR="003F7118" w:rsidRPr="003F7118" w:rsidRDefault="006004AA" w:rsidP="003F7118">
            <w:pPr>
              <w:rPr>
                <w:bCs/>
              </w:rPr>
            </w:pPr>
            <w:r>
              <w:rPr>
                <w:bCs/>
              </w:rPr>
              <w:t>Referenc</w:t>
            </w:r>
            <w:r w:rsidRPr="006004AA">
              <w:rPr>
                <w:bCs/>
              </w:rPr>
              <w:t xml:space="preserve">e how </w:t>
            </w:r>
            <w:r w:rsidRPr="0021316B">
              <w:t>PSHE, RSE, SMSC, British/Scottish values, wellbeing, and safeguarding</w:t>
            </w:r>
            <w:r w:rsidRPr="006004AA">
              <w:t xml:space="preserve"> are embedded</w:t>
            </w:r>
          </w:p>
        </w:tc>
        <w:tc>
          <w:tcPr>
            <w:tcW w:w="341" w:type="dxa"/>
          </w:tcPr>
          <w:p w14:paraId="392A794B" w14:textId="77777777" w:rsidR="003F7118" w:rsidRPr="003F7118" w:rsidRDefault="003F7118" w:rsidP="003F7118">
            <w:pPr>
              <w:rPr>
                <w:bCs/>
              </w:rPr>
            </w:pPr>
          </w:p>
        </w:tc>
      </w:tr>
      <w:tr w:rsidR="003F7118" w:rsidRPr="003F7118" w14:paraId="0F5ED5B1" w14:textId="77777777" w:rsidTr="003F7118">
        <w:tc>
          <w:tcPr>
            <w:tcW w:w="4137" w:type="dxa"/>
          </w:tcPr>
          <w:p w14:paraId="54E636A4" w14:textId="4438923C" w:rsidR="003F7118" w:rsidRPr="003F7118" w:rsidRDefault="003F7118" w:rsidP="003F7118">
            <w:pPr>
              <w:rPr>
                <w:bCs/>
              </w:rPr>
            </w:pPr>
            <w:r w:rsidRPr="003F7118">
              <w:rPr>
                <w:bCs/>
              </w:rPr>
              <w:t>Opportunities for work related learning, independent CIAG and reference to the Gatsby Benchmark</w:t>
            </w:r>
          </w:p>
        </w:tc>
        <w:tc>
          <w:tcPr>
            <w:tcW w:w="395" w:type="dxa"/>
          </w:tcPr>
          <w:p w14:paraId="1ECB0EB7" w14:textId="77777777" w:rsidR="003F7118" w:rsidRPr="003F7118" w:rsidRDefault="003F7118" w:rsidP="003F7118">
            <w:pPr>
              <w:rPr>
                <w:bCs/>
              </w:rPr>
            </w:pPr>
          </w:p>
        </w:tc>
        <w:tc>
          <w:tcPr>
            <w:tcW w:w="4143" w:type="dxa"/>
          </w:tcPr>
          <w:p w14:paraId="6F0053DA" w14:textId="2F455601" w:rsidR="003F7118" w:rsidRPr="003F7118" w:rsidRDefault="003F7118" w:rsidP="003F7118">
            <w:pPr>
              <w:rPr>
                <w:bCs/>
              </w:rPr>
            </w:pPr>
          </w:p>
        </w:tc>
        <w:tc>
          <w:tcPr>
            <w:tcW w:w="341" w:type="dxa"/>
          </w:tcPr>
          <w:p w14:paraId="7A9DB612" w14:textId="77777777" w:rsidR="003F7118" w:rsidRPr="003F7118" w:rsidRDefault="003F7118" w:rsidP="003F7118">
            <w:pPr>
              <w:rPr>
                <w:bCs/>
              </w:rPr>
            </w:pPr>
          </w:p>
        </w:tc>
      </w:tr>
      <w:tr w:rsidR="003F7118" w:rsidRPr="003F7118" w14:paraId="1F71FE3D" w14:textId="77777777" w:rsidTr="003F7118">
        <w:tc>
          <w:tcPr>
            <w:tcW w:w="4137" w:type="dxa"/>
          </w:tcPr>
          <w:p w14:paraId="1758C864" w14:textId="42E0E3EA" w:rsidR="003F7118" w:rsidRPr="003F7118" w:rsidRDefault="003F7118">
            <w:pPr>
              <w:rPr>
                <w:bCs/>
              </w:rPr>
            </w:pPr>
            <w:r w:rsidRPr="003F7118">
              <w:rPr>
                <w:bCs/>
              </w:rPr>
              <w:t>The role of subject coordinators if this is applicable and how the curriculum is monitored</w:t>
            </w:r>
          </w:p>
        </w:tc>
        <w:tc>
          <w:tcPr>
            <w:tcW w:w="395" w:type="dxa"/>
          </w:tcPr>
          <w:p w14:paraId="440C6DD5" w14:textId="77777777" w:rsidR="003F7118" w:rsidRPr="003F7118" w:rsidRDefault="003F7118">
            <w:pPr>
              <w:rPr>
                <w:bCs/>
              </w:rPr>
            </w:pPr>
          </w:p>
        </w:tc>
        <w:tc>
          <w:tcPr>
            <w:tcW w:w="4143" w:type="dxa"/>
          </w:tcPr>
          <w:p w14:paraId="2BDE657D" w14:textId="12012DDF" w:rsidR="003F7118" w:rsidRPr="003F7118" w:rsidRDefault="003F7118">
            <w:pPr>
              <w:rPr>
                <w:bCs/>
              </w:rPr>
            </w:pPr>
          </w:p>
        </w:tc>
        <w:tc>
          <w:tcPr>
            <w:tcW w:w="341" w:type="dxa"/>
          </w:tcPr>
          <w:p w14:paraId="0DE82F79" w14:textId="77777777" w:rsidR="003F7118" w:rsidRPr="003F7118" w:rsidRDefault="003F7118">
            <w:pPr>
              <w:rPr>
                <w:bCs/>
              </w:rPr>
            </w:pPr>
          </w:p>
        </w:tc>
      </w:tr>
      <w:tr w:rsidR="003F7118" w:rsidRPr="003F7118" w14:paraId="4989DF1E" w14:textId="77777777" w:rsidTr="003F7118">
        <w:tc>
          <w:tcPr>
            <w:tcW w:w="4137" w:type="dxa"/>
          </w:tcPr>
          <w:p w14:paraId="1849C876" w14:textId="5A5CE027" w:rsidR="003F7118" w:rsidRPr="003F7118" w:rsidRDefault="003F7118">
            <w:pPr>
              <w:rPr>
                <w:bCs/>
              </w:rPr>
            </w:pPr>
            <w:r w:rsidRPr="003F7118">
              <w:rPr>
                <w:bCs/>
              </w:rPr>
              <w:t>Wellbeing and safeguarding</w:t>
            </w:r>
          </w:p>
        </w:tc>
        <w:tc>
          <w:tcPr>
            <w:tcW w:w="395" w:type="dxa"/>
          </w:tcPr>
          <w:p w14:paraId="619C0A44" w14:textId="77777777" w:rsidR="003F7118" w:rsidRPr="003F7118" w:rsidRDefault="003F7118">
            <w:pPr>
              <w:rPr>
                <w:bCs/>
              </w:rPr>
            </w:pPr>
          </w:p>
        </w:tc>
        <w:tc>
          <w:tcPr>
            <w:tcW w:w="4143" w:type="dxa"/>
          </w:tcPr>
          <w:p w14:paraId="3A42C3C5" w14:textId="52497EC1" w:rsidR="003F7118" w:rsidRPr="003F7118" w:rsidRDefault="003F7118">
            <w:pPr>
              <w:rPr>
                <w:bCs/>
              </w:rPr>
            </w:pPr>
          </w:p>
        </w:tc>
        <w:tc>
          <w:tcPr>
            <w:tcW w:w="341" w:type="dxa"/>
          </w:tcPr>
          <w:p w14:paraId="2E5D3A14" w14:textId="77777777" w:rsidR="003F7118" w:rsidRPr="003F7118" w:rsidRDefault="003F7118">
            <w:pPr>
              <w:rPr>
                <w:bCs/>
              </w:rPr>
            </w:pPr>
          </w:p>
        </w:tc>
      </w:tr>
      <w:tr w:rsidR="00784DBC" w:rsidRPr="003F7118" w14:paraId="5A0B4FE0" w14:textId="77777777" w:rsidTr="003F7118">
        <w:tc>
          <w:tcPr>
            <w:tcW w:w="4137" w:type="dxa"/>
          </w:tcPr>
          <w:p w14:paraId="53F7826E" w14:textId="4C23C9B4" w:rsidR="008B35B0" w:rsidRPr="003F7118" w:rsidRDefault="008B35B0">
            <w:pPr>
              <w:rPr>
                <w:bCs/>
              </w:rPr>
            </w:pPr>
            <w:r w:rsidRPr="003F7118">
              <w:rPr>
                <w:bCs/>
              </w:rPr>
              <w:t>Reference to the process of how the curriculum is and will be reviewed</w:t>
            </w:r>
          </w:p>
        </w:tc>
        <w:tc>
          <w:tcPr>
            <w:tcW w:w="395" w:type="dxa"/>
          </w:tcPr>
          <w:p w14:paraId="59539A97" w14:textId="77777777" w:rsidR="008B35B0" w:rsidRPr="003F7118" w:rsidRDefault="008B35B0">
            <w:pPr>
              <w:rPr>
                <w:bCs/>
              </w:rPr>
            </w:pPr>
          </w:p>
        </w:tc>
        <w:tc>
          <w:tcPr>
            <w:tcW w:w="4143" w:type="dxa"/>
          </w:tcPr>
          <w:p w14:paraId="775E6A85" w14:textId="68909B89" w:rsidR="008B35B0" w:rsidRPr="003F7118" w:rsidRDefault="008B35B0">
            <w:pPr>
              <w:rPr>
                <w:bCs/>
              </w:rPr>
            </w:pPr>
          </w:p>
        </w:tc>
        <w:tc>
          <w:tcPr>
            <w:tcW w:w="341" w:type="dxa"/>
          </w:tcPr>
          <w:p w14:paraId="7C295E15" w14:textId="77777777" w:rsidR="008B35B0" w:rsidRPr="003F7118" w:rsidRDefault="008B35B0">
            <w:pPr>
              <w:rPr>
                <w:bCs/>
              </w:rPr>
            </w:pPr>
          </w:p>
        </w:tc>
      </w:tr>
      <w:tr w:rsidR="00F0085D" w:rsidRPr="003F7118" w14:paraId="0D1602DF" w14:textId="77777777" w:rsidTr="003F7118">
        <w:tc>
          <w:tcPr>
            <w:tcW w:w="4137" w:type="dxa"/>
          </w:tcPr>
          <w:p w14:paraId="3391E534" w14:textId="6C7868F0" w:rsidR="00F0085D" w:rsidRPr="003F7118" w:rsidRDefault="00F0085D" w:rsidP="00232096">
            <w:pPr>
              <w:rPr>
                <w:bCs/>
              </w:rPr>
            </w:pPr>
            <w:r w:rsidRPr="003F7118">
              <w:rPr>
                <w:bCs/>
              </w:rPr>
              <w:t>Post-16 as a separate section if this is applicable</w:t>
            </w:r>
          </w:p>
        </w:tc>
        <w:tc>
          <w:tcPr>
            <w:tcW w:w="395" w:type="dxa"/>
          </w:tcPr>
          <w:p w14:paraId="7F12B92E" w14:textId="77777777" w:rsidR="00F0085D" w:rsidRPr="003F7118" w:rsidRDefault="00F0085D">
            <w:pPr>
              <w:rPr>
                <w:bCs/>
              </w:rPr>
            </w:pPr>
          </w:p>
        </w:tc>
        <w:tc>
          <w:tcPr>
            <w:tcW w:w="4143" w:type="dxa"/>
          </w:tcPr>
          <w:p w14:paraId="0C5709E2" w14:textId="0EABC66B" w:rsidR="00F0085D" w:rsidRPr="003F7118" w:rsidRDefault="00F0085D" w:rsidP="00C04203">
            <w:pPr>
              <w:rPr>
                <w:bCs/>
              </w:rPr>
            </w:pPr>
          </w:p>
        </w:tc>
        <w:tc>
          <w:tcPr>
            <w:tcW w:w="341" w:type="dxa"/>
          </w:tcPr>
          <w:p w14:paraId="0222D36F" w14:textId="77777777" w:rsidR="00F0085D" w:rsidRPr="003F7118" w:rsidRDefault="00F0085D">
            <w:pPr>
              <w:rPr>
                <w:bCs/>
              </w:rPr>
            </w:pPr>
          </w:p>
        </w:tc>
      </w:tr>
      <w:tr w:rsidR="003F7118" w:rsidRPr="003F7118" w14:paraId="00CFFF39" w14:textId="77777777" w:rsidTr="003F7118">
        <w:tc>
          <w:tcPr>
            <w:tcW w:w="4137" w:type="dxa"/>
          </w:tcPr>
          <w:p w14:paraId="78354549" w14:textId="4CB2EB7B" w:rsidR="003F7118" w:rsidRPr="003F7118" w:rsidRDefault="003F7118" w:rsidP="003F7118">
            <w:pPr>
              <w:rPr>
                <w:bCs/>
              </w:rPr>
            </w:pPr>
            <w:r w:rsidRPr="003F7118">
              <w:rPr>
                <w:bCs/>
              </w:rPr>
              <w:t>Qualifications and accreditation</w:t>
            </w:r>
          </w:p>
        </w:tc>
        <w:tc>
          <w:tcPr>
            <w:tcW w:w="395" w:type="dxa"/>
          </w:tcPr>
          <w:p w14:paraId="2EAFF702" w14:textId="77777777" w:rsidR="003F7118" w:rsidRPr="003F7118" w:rsidRDefault="003F7118" w:rsidP="003F7118">
            <w:pPr>
              <w:rPr>
                <w:bCs/>
              </w:rPr>
            </w:pPr>
          </w:p>
        </w:tc>
        <w:tc>
          <w:tcPr>
            <w:tcW w:w="4143" w:type="dxa"/>
          </w:tcPr>
          <w:p w14:paraId="2FA3DA60" w14:textId="6EE79CB5" w:rsidR="003F7118" w:rsidRPr="003F7118" w:rsidRDefault="003F7118" w:rsidP="003F7118">
            <w:pPr>
              <w:pStyle w:val="NormalWeb"/>
              <w:ind w:left="360"/>
              <w:rPr>
                <w:rFonts w:ascii="Tahoma" w:hAnsi="Tahoma" w:cs="Tahoma"/>
                <w:bCs/>
                <w:sz w:val="20"/>
                <w:szCs w:val="20"/>
              </w:rPr>
            </w:pPr>
          </w:p>
        </w:tc>
        <w:tc>
          <w:tcPr>
            <w:tcW w:w="341" w:type="dxa"/>
          </w:tcPr>
          <w:p w14:paraId="3BFD55C3" w14:textId="77777777" w:rsidR="003F7118" w:rsidRPr="003F7118" w:rsidRDefault="003F7118" w:rsidP="003F7118">
            <w:pPr>
              <w:rPr>
                <w:bCs/>
              </w:rPr>
            </w:pPr>
          </w:p>
        </w:tc>
      </w:tr>
      <w:tr w:rsidR="003F7118" w:rsidRPr="003F7118" w14:paraId="49A67838" w14:textId="77777777" w:rsidTr="003F7118">
        <w:tc>
          <w:tcPr>
            <w:tcW w:w="4137" w:type="dxa"/>
          </w:tcPr>
          <w:p w14:paraId="3C43A664" w14:textId="7C2E8538" w:rsidR="003F7118" w:rsidRPr="003F7118" w:rsidRDefault="003F7118" w:rsidP="003F7118">
            <w:pPr>
              <w:rPr>
                <w:bCs/>
              </w:rPr>
            </w:pPr>
            <w:r w:rsidRPr="003F7118">
              <w:rPr>
                <w:bCs/>
              </w:rPr>
              <w:t>Implementation and Responsibilities</w:t>
            </w:r>
          </w:p>
        </w:tc>
        <w:tc>
          <w:tcPr>
            <w:tcW w:w="395" w:type="dxa"/>
          </w:tcPr>
          <w:p w14:paraId="0A531E2D" w14:textId="77777777" w:rsidR="003F7118" w:rsidRPr="003F7118" w:rsidRDefault="003F7118" w:rsidP="003F7118">
            <w:pPr>
              <w:rPr>
                <w:bCs/>
              </w:rPr>
            </w:pPr>
          </w:p>
        </w:tc>
        <w:tc>
          <w:tcPr>
            <w:tcW w:w="4143" w:type="dxa"/>
          </w:tcPr>
          <w:p w14:paraId="31B961A4" w14:textId="4673C18B" w:rsidR="003F7118" w:rsidRPr="003F7118" w:rsidRDefault="003F7118" w:rsidP="003F7118">
            <w:pPr>
              <w:pStyle w:val="NormalWeb"/>
              <w:ind w:left="360"/>
              <w:rPr>
                <w:bCs/>
              </w:rPr>
            </w:pPr>
          </w:p>
        </w:tc>
        <w:tc>
          <w:tcPr>
            <w:tcW w:w="341" w:type="dxa"/>
          </w:tcPr>
          <w:p w14:paraId="2FE39A62" w14:textId="77777777" w:rsidR="003F7118" w:rsidRPr="003F7118" w:rsidRDefault="003F7118" w:rsidP="003F7118">
            <w:pPr>
              <w:rPr>
                <w:bCs/>
              </w:rPr>
            </w:pPr>
          </w:p>
        </w:tc>
      </w:tr>
      <w:tr w:rsidR="003F7118" w:rsidRPr="003F7118" w14:paraId="5BF3F614" w14:textId="77777777" w:rsidTr="003F7118">
        <w:tc>
          <w:tcPr>
            <w:tcW w:w="4137" w:type="dxa"/>
          </w:tcPr>
          <w:p w14:paraId="1C8C84A0" w14:textId="48A21415" w:rsidR="003F7118" w:rsidRPr="003F7118" w:rsidRDefault="003F7118" w:rsidP="003F7118">
            <w:pPr>
              <w:rPr>
                <w:bCs/>
              </w:rPr>
            </w:pPr>
            <w:r w:rsidRPr="003F7118">
              <w:rPr>
                <w:bCs/>
              </w:rPr>
              <w:t>Review and Evaluation</w:t>
            </w:r>
          </w:p>
        </w:tc>
        <w:tc>
          <w:tcPr>
            <w:tcW w:w="395" w:type="dxa"/>
          </w:tcPr>
          <w:p w14:paraId="55C8AE56" w14:textId="77777777" w:rsidR="003F7118" w:rsidRPr="003F7118" w:rsidRDefault="003F7118" w:rsidP="003F7118">
            <w:pPr>
              <w:rPr>
                <w:bCs/>
              </w:rPr>
            </w:pPr>
          </w:p>
        </w:tc>
        <w:tc>
          <w:tcPr>
            <w:tcW w:w="4143" w:type="dxa"/>
          </w:tcPr>
          <w:p w14:paraId="0ED50CA3" w14:textId="61D4B9A6" w:rsidR="003F7118" w:rsidRPr="003F7118" w:rsidRDefault="003F7118" w:rsidP="003F7118">
            <w:pPr>
              <w:pStyle w:val="NormalWeb"/>
              <w:ind w:left="360"/>
              <w:rPr>
                <w:rFonts w:ascii="Tahoma" w:hAnsi="Tahoma" w:cs="Tahoma"/>
                <w:bCs/>
                <w:sz w:val="20"/>
                <w:szCs w:val="20"/>
              </w:rPr>
            </w:pPr>
          </w:p>
        </w:tc>
        <w:tc>
          <w:tcPr>
            <w:tcW w:w="341" w:type="dxa"/>
          </w:tcPr>
          <w:p w14:paraId="1E527234" w14:textId="77777777" w:rsidR="003F7118" w:rsidRPr="003F7118" w:rsidRDefault="003F7118" w:rsidP="003F7118">
            <w:pPr>
              <w:rPr>
                <w:bCs/>
              </w:rPr>
            </w:pPr>
          </w:p>
        </w:tc>
      </w:tr>
    </w:tbl>
    <w:p w14:paraId="3E310636" w14:textId="77777777" w:rsidR="003F7118" w:rsidRDefault="003F7118">
      <w:pPr>
        <w:rPr>
          <w:b/>
        </w:rPr>
      </w:pPr>
    </w:p>
    <w:p w14:paraId="0892739B" w14:textId="322E8855" w:rsidR="00D36B5A" w:rsidRPr="00FE1B0D" w:rsidRDefault="00FE1B0D">
      <w:pPr>
        <w:rPr>
          <w:b/>
        </w:rPr>
      </w:pPr>
      <w:r w:rsidRPr="00FE1B0D">
        <w:rPr>
          <w:b/>
        </w:rPr>
        <w:t xml:space="preserve">Local Procedure </w:t>
      </w:r>
      <w:r w:rsidR="00ED27F4" w:rsidRPr="00FE1B0D">
        <w:rPr>
          <w:b/>
        </w:rPr>
        <w:t>Review History</w:t>
      </w:r>
      <w:r w:rsidRPr="00FE1B0D">
        <w:rPr>
          <w:b/>
        </w:rPr>
        <w:t>:</w:t>
      </w:r>
    </w:p>
    <w:tbl>
      <w:tblPr>
        <w:tblStyle w:val="TableGrid"/>
        <w:tblW w:w="0" w:type="auto"/>
        <w:tblLook w:val="04A0" w:firstRow="1" w:lastRow="0" w:firstColumn="1" w:lastColumn="0" w:noHBand="0" w:noVBand="1"/>
      </w:tblPr>
      <w:tblGrid>
        <w:gridCol w:w="3005"/>
        <w:gridCol w:w="3005"/>
        <w:gridCol w:w="3006"/>
      </w:tblGrid>
      <w:tr w:rsidR="00FE1B0D" w14:paraId="112A3AD4" w14:textId="77777777" w:rsidTr="00FE1B0D">
        <w:tc>
          <w:tcPr>
            <w:tcW w:w="3080" w:type="dxa"/>
            <w:shd w:val="clear" w:color="auto" w:fill="C6D9F1" w:themeFill="text2" w:themeFillTint="33"/>
          </w:tcPr>
          <w:p w14:paraId="7569A8B8" w14:textId="77777777" w:rsidR="00FE1B0D" w:rsidRPr="00FE1B0D" w:rsidRDefault="00FE1B0D">
            <w:pPr>
              <w:rPr>
                <w:b/>
              </w:rPr>
            </w:pPr>
            <w:r w:rsidRPr="00FE1B0D">
              <w:rPr>
                <w:b/>
              </w:rPr>
              <w:t>Date Reviewed</w:t>
            </w:r>
          </w:p>
        </w:tc>
        <w:tc>
          <w:tcPr>
            <w:tcW w:w="3081" w:type="dxa"/>
            <w:shd w:val="clear" w:color="auto" w:fill="C6D9F1" w:themeFill="text2" w:themeFillTint="33"/>
          </w:tcPr>
          <w:p w14:paraId="717A8983" w14:textId="77777777" w:rsidR="00FE1B0D" w:rsidRPr="00FE1B0D" w:rsidRDefault="00FE1B0D">
            <w:pPr>
              <w:rPr>
                <w:b/>
              </w:rPr>
            </w:pPr>
            <w:r w:rsidRPr="00FE1B0D">
              <w:rPr>
                <w:b/>
              </w:rPr>
              <w:t xml:space="preserve">Reviewer </w:t>
            </w:r>
          </w:p>
        </w:tc>
        <w:tc>
          <w:tcPr>
            <w:tcW w:w="3081" w:type="dxa"/>
            <w:shd w:val="clear" w:color="auto" w:fill="C6D9F1" w:themeFill="text2" w:themeFillTint="33"/>
          </w:tcPr>
          <w:p w14:paraId="04FA4B5F" w14:textId="77777777" w:rsidR="00FE1B0D" w:rsidRPr="00FE1B0D" w:rsidRDefault="00FE1B0D">
            <w:pPr>
              <w:rPr>
                <w:b/>
              </w:rPr>
            </w:pPr>
            <w:r w:rsidRPr="00FE1B0D">
              <w:rPr>
                <w:b/>
              </w:rPr>
              <w:t>Summary of revisions</w:t>
            </w:r>
          </w:p>
        </w:tc>
      </w:tr>
      <w:tr w:rsidR="00FE1B0D" w14:paraId="4A11628D" w14:textId="77777777" w:rsidTr="00FE1B0D">
        <w:tc>
          <w:tcPr>
            <w:tcW w:w="3080" w:type="dxa"/>
          </w:tcPr>
          <w:p w14:paraId="1C1F9D27" w14:textId="77777777" w:rsidR="00FE1B0D" w:rsidRDefault="00FE1B0D"/>
        </w:tc>
        <w:tc>
          <w:tcPr>
            <w:tcW w:w="3081" w:type="dxa"/>
          </w:tcPr>
          <w:p w14:paraId="03DC953F" w14:textId="77777777" w:rsidR="00FE1B0D" w:rsidRDefault="00FE1B0D"/>
        </w:tc>
        <w:tc>
          <w:tcPr>
            <w:tcW w:w="3081" w:type="dxa"/>
          </w:tcPr>
          <w:p w14:paraId="40564E94" w14:textId="77777777" w:rsidR="00FE1B0D" w:rsidRDefault="00FE1B0D"/>
        </w:tc>
      </w:tr>
      <w:tr w:rsidR="00FE1B0D" w14:paraId="53829D98" w14:textId="77777777" w:rsidTr="00FE1B0D">
        <w:tc>
          <w:tcPr>
            <w:tcW w:w="3080" w:type="dxa"/>
          </w:tcPr>
          <w:p w14:paraId="17FE8C73" w14:textId="77777777" w:rsidR="00FE1B0D" w:rsidRDefault="00FE1B0D"/>
        </w:tc>
        <w:tc>
          <w:tcPr>
            <w:tcW w:w="3081" w:type="dxa"/>
          </w:tcPr>
          <w:p w14:paraId="1B5EC75C" w14:textId="77777777" w:rsidR="00FE1B0D" w:rsidRDefault="00FE1B0D"/>
        </w:tc>
        <w:tc>
          <w:tcPr>
            <w:tcW w:w="3081" w:type="dxa"/>
          </w:tcPr>
          <w:p w14:paraId="1E12D503" w14:textId="77777777" w:rsidR="00FE1B0D" w:rsidRDefault="00FE1B0D"/>
        </w:tc>
      </w:tr>
      <w:tr w:rsidR="00FE1B0D" w14:paraId="41C7A990" w14:textId="77777777" w:rsidTr="00FE1B0D">
        <w:tc>
          <w:tcPr>
            <w:tcW w:w="3080" w:type="dxa"/>
          </w:tcPr>
          <w:p w14:paraId="54E4B153" w14:textId="77777777" w:rsidR="00FE1B0D" w:rsidRDefault="00FE1B0D"/>
        </w:tc>
        <w:tc>
          <w:tcPr>
            <w:tcW w:w="3081" w:type="dxa"/>
          </w:tcPr>
          <w:p w14:paraId="6473A693" w14:textId="77777777" w:rsidR="00FE1B0D" w:rsidRDefault="00FE1B0D"/>
        </w:tc>
        <w:tc>
          <w:tcPr>
            <w:tcW w:w="3081" w:type="dxa"/>
          </w:tcPr>
          <w:p w14:paraId="43CA450C" w14:textId="77777777" w:rsidR="00FE1B0D" w:rsidRDefault="00FE1B0D"/>
        </w:tc>
      </w:tr>
      <w:tr w:rsidR="00FE1B0D" w14:paraId="409D472D" w14:textId="77777777" w:rsidTr="00FE1B0D">
        <w:tc>
          <w:tcPr>
            <w:tcW w:w="3080" w:type="dxa"/>
          </w:tcPr>
          <w:p w14:paraId="23C0C8BD" w14:textId="77777777" w:rsidR="00FE1B0D" w:rsidRDefault="00FE1B0D"/>
        </w:tc>
        <w:tc>
          <w:tcPr>
            <w:tcW w:w="3081" w:type="dxa"/>
          </w:tcPr>
          <w:p w14:paraId="35E1C2D1" w14:textId="77777777" w:rsidR="00FE1B0D" w:rsidRDefault="00FE1B0D"/>
        </w:tc>
        <w:tc>
          <w:tcPr>
            <w:tcW w:w="3081" w:type="dxa"/>
          </w:tcPr>
          <w:p w14:paraId="30FBA2B2" w14:textId="77777777" w:rsidR="00FE1B0D" w:rsidRDefault="00FE1B0D"/>
        </w:tc>
      </w:tr>
      <w:tr w:rsidR="00FE1B0D" w14:paraId="5AEA842A" w14:textId="77777777" w:rsidTr="00FE1B0D">
        <w:tc>
          <w:tcPr>
            <w:tcW w:w="3080" w:type="dxa"/>
          </w:tcPr>
          <w:p w14:paraId="6CC0723F" w14:textId="77777777" w:rsidR="00FE1B0D" w:rsidRDefault="00FE1B0D"/>
        </w:tc>
        <w:tc>
          <w:tcPr>
            <w:tcW w:w="3081" w:type="dxa"/>
          </w:tcPr>
          <w:p w14:paraId="2DEBC01E" w14:textId="77777777" w:rsidR="00FE1B0D" w:rsidRDefault="00FE1B0D"/>
        </w:tc>
        <w:tc>
          <w:tcPr>
            <w:tcW w:w="3081" w:type="dxa"/>
          </w:tcPr>
          <w:p w14:paraId="483601A9" w14:textId="77777777" w:rsidR="00FE1B0D" w:rsidRDefault="00FE1B0D"/>
        </w:tc>
      </w:tr>
      <w:tr w:rsidR="00FE1B0D" w14:paraId="240928CC" w14:textId="77777777" w:rsidTr="00FE1B0D">
        <w:tc>
          <w:tcPr>
            <w:tcW w:w="3080" w:type="dxa"/>
          </w:tcPr>
          <w:p w14:paraId="71DD1BF1" w14:textId="77777777" w:rsidR="00FE1B0D" w:rsidRDefault="00FE1B0D"/>
        </w:tc>
        <w:tc>
          <w:tcPr>
            <w:tcW w:w="3081" w:type="dxa"/>
          </w:tcPr>
          <w:p w14:paraId="4A85E0D7" w14:textId="77777777" w:rsidR="00FE1B0D" w:rsidRDefault="00FE1B0D"/>
        </w:tc>
        <w:tc>
          <w:tcPr>
            <w:tcW w:w="3081" w:type="dxa"/>
          </w:tcPr>
          <w:p w14:paraId="0D0F6E5A" w14:textId="77777777" w:rsidR="00FE1B0D" w:rsidRDefault="00FE1B0D"/>
        </w:tc>
      </w:tr>
      <w:tr w:rsidR="00FE1B0D" w14:paraId="1DA59E89" w14:textId="77777777" w:rsidTr="00FE1B0D">
        <w:tc>
          <w:tcPr>
            <w:tcW w:w="3080" w:type="dxa"/>
          </w:tcPr>
          <w:p w14:paraId="0E6ED322" w14:textId="77777777" w:rsidR="00FE1B0D" w:rsidRDefault="00FE1B0D"/>
        </w:tc>
        <w:tc>
          <w:tcPr>
            <w:tcW w:w="3081" w:type="dxa"/>
          </w:tcPr>
          <w:p w14:paraId="4CA67B98" w14:textId="77777777" w:rsidR="00FE1B0D" w:rsidRDefault="00FE1B0D"/>
        </w:tc>
        <w:tc>
          <w:tcPr>
            <w:tcW w:w="3081" w:type="dxa"/>
          </w:tcPr>
          <w:p w14:paraId="29E0518F" w14:textId="77777777" w:rsidR="00FE1B0D" w:rsidRDefault="00FE1B0D"/>
        </w:tc>
      </w:tr>
    </w:tbl>
    <w:p w14:paraId="75BFC176" w14:textId="77777777" w:rsidR="00FE1B0D" w:rsidRPr="00FE1B0D" w:rsidRDefault="00FE1B0D"/>
    <w:sectPr w:rsidR="00FE1B0D" w:rsidRPr="00FE1B0D" w:rsidSect="0021558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3F58" w14:textId="77777777" w:rsidR="00CF742C" w:rsidRDefault="00CF742C" w:rsidP="00714039">
      <w:pPr>
        <w:spacing w:after="0" w:line="240" w:lineRule="auto"/>
      </w:pPr>
      <w:r>
        <w:separator/>
      </w:r>
    </w:p>
  </w:endnote>
  <w:endnote w:type="continuationSeparator" w:id="0">
    <w:p w14:paraId="16FEF45A" w14:textId="77777777" w:rsidR="00CF742C" w:rsidRDefault="00CF742C" w:rsidP="0071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B9D1" w14:textId="66C36A46" w:rsidR="0021017D" w:rsidRPr="004C0F0F" w:rsidRDefault="0021017D" w:rsidP="0021017D">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4251A8">
      <w:rPr>
        <w:rFonts w:ascii="Tahoma" w:hAnsi="Tahoma" w:cs="Tahoma"/>
        <w:sz w:val="16"/>
        <w:szCs w:val="16"/>
      </w:rPr>
      <w:t xml:space="preserve">Aspris </w:t>
    </w:r>
    <w:r w:rsidRPr="004C0F0F">
      <w:rPr>
        <w:rFonts w:ascii="Tahoma" w:hAnsi="Tahoma" w:cs="Tahoma"/>
        <w:sz w:val="16"/>
        <w:szCs w:val="16"/>
      </w:rPr>
      <w:t xml:space="preserve">–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4251A8">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 xml:space="preserve">Local Procedure: 31 </w:t>
    </w:r>
  </w:p>
  <w:p w14:paraId="703F4D81" w14:textId="7F805285" w:rsidR="0021017D" w:rsidRPr="00C20A5B" w:rsidRDefault="004251A8" w:rsidP="0021017D">
    <w:pPr>
      <w:pStyle w:val="Footer"/>
      <w:ind w:right="-186"/>
    </w:pPr>
    <w:r>
      <w:rPr>
        <w:rFonts w:ascii="Tahoma" w:hAnsi="Tahoma" w:cs="Tahoma"/>
        <w:sz w:val="16"/>
        <w:szCs w:val="16"/>
      </w:rPr>
      <w:t xml:space="preserve">Aspris </w:t>
    </w:r>
    <w:r w:rsidR="0021017D" w:rsidRPr="004C0F0F">
      <w:rPr>
        <w:rFonts w:ascii="Tahoma" w:hAnsi="Tahoma" w:cs="Tahoma"/>
        <w:sz w:val="16"/>
        <w:szCs w:val="16"/>
      </w:rPr>
      <w:t xml:space="preserve">Children’s Services – </w:t>
    </w:r>
    <w:r w:rsidR="0021017D" w:rsidRPr="000F6973">
      <w:rPr>
        <w:rFonts w:ascii="Tahoma" w:hAnsi="Tahoma" w:cs="Tahoma"/>
        <w:sz w:val="16"/>
        <w:szCs w:val="16"/>
      </w:rPr>
      <w:t>V0</w:t>
    </w:r>
    <w:r w:rsidR="003F7118">
      <w:rPr>
        <w:rFonts w:ascii="Tahoma" w:hAnsi="Tahoma" w:cs="Tahoma"/>
        <w:sz w:val="16"/>
        <w:szCs w:val="16"/>
      </w:rPr>
      <w:t>3</w:t>
    </w:r>
    <w:r w:rsidR="0021017D" w:rsidRPr="000F6973">
      <w:rPr>
        <w:rFonts w:ascii="Tahoma" w:hAnsi="Tahoma" w:cs="Tahoma"/>
        <w:sz w:val="16"/>
        <w:szCs w:val="16"/>
      </w:rPr>
      <w:t xml:space="preserve"> –</w:t>
    </w:r>
    <w:r w:rsidR="0021017D" w:rsidRPr="000F6973">
      <w:rPr>
        <w:rFonts w:ascii="Tahoma" w:hAnsi="Tahoma" w:cs="Tahoma"/>
        <w:sz w:val="16"/>
      </w:rPr>
      <w:t xml:space="preserve"> </w:t>
    </w:r>
    <w:r w:rsidR="0021316B">
      <w:rPr>
        <w:rFonts w:ascii="Tahoma" w:hAnsi="Tahoma" w:cs="Tahoma"/>
        <w:sz w:val="16"/>
      </w:rPr>
      <w:t>September</w:t>
    </w:r>
    <w:r w:rsidR="003F7118">
      <w:rPr>
        <w:rFonts w:ascii="Tahoma" w:hAnsi="Tahoma" w:cs="Tahoma"/>
        <w:sz w:val="16"/>
      </w:rPr>
      <w:t xml:space="preserve"> </w:t>
    </w:r>
    <w:r>
      <w:rPr>
        <w:rFonts w:ascii="Tahoma" w:hAnsi="Tahoma" w:cs="Tahoma"/>
        <w:sz w:val="16"/>
      </w:rPr>
      <w:t>2</w:t>
    </w:r>
    <w:r w:rsidR="00284399">
      <w:rPr>
        <w:rFonts w:ascii="Tahoma" w:hAnsi="Tahoma" w:cs="Tahoma"/>
        <w:sz w:val="16"/>
      </w:rPr>
      <w:t>02</w:t>
    </w:r>
    <w:r w:rsidR="003F7118">
      <w:rPr>
        <w:rFonts w:ascii="Tahoma" w:hAnsi="Tahoma" w:cs="Tahoma"/>
        <w:sz w:val="16"/>
      </w:rPr>
      <w:t>5</w:t>
    </w:r>
    <w:r w:rsidR="0021017D">
      <w:rPr>
        <w:rFonts w:ascii="Tahoma" w:hAnsi="Tahoma" w:cs="Tahoma"/>
        <w:sz w:val="16"/>
      </w:rPr>
      <w:tab/>
    </w:r>
    <w:r w:rsidR="0021017D">
      <w:rPr>
        <w:rFonts w:ascii="Tahoma" w:hAnsi="Tahoma" w:cs="Tahoma"/>
        <w:sz w:val="16"/>
      </w:rPr>
      <w:tab/>
    </w:r>
    <w:r w:rsidR="0021017D" w:rsidRPr="00C20A5B">
      <w:rPr>
        <w:rFonts w:ascii="Tahoma" w:hAnsi="Tahoma" w:cs="Tahoma"/>
        <w:sz w:val="16"/>
      </w:rPr>
      <w:t xml:space="preserve">Page </w:t>
    </w:r>
    <w:r w:rsidR="0021017D" w:rsidRPr="00C20A5B">
      <w:rPr>
        <w:rStyle w:val="PageNumber"/>
        <w:rFonts w:ascii="Tahoma" w:hAnsi="Tahoma" w:cs="Tahoma"/>
        <w:sz w:val="16"/>
      </w:rPr>
      <w:fldChar w:fldCharType="begin"/>
    </w:r>
    <w:r w:rsidR="0021017D" w:rsidRPr="00C20A5B">
      <w:rPr>
        <w:rStyle w:val="PageNumber"/>
        <w:rFonts w:ascii="Tahoma" w:hAnsi="Tahoma" w:cs="Tahoma"/>
        <w:sz w:val="16"/>
      </w:rPr>
      <w:instrText xml:space="preserve"> PAGE </w:instrText>
    </w:r>
    <w:r w:rsidR="0021017D" w:rsidRPr="00C20A5B">
      <w:rPr>
        <w:rStyle w:val="PageNumber"/>
        <w:rFonts w:ascii="Tahoma" w:hAnsi="Tahoma" w:cs="Tahoma"/>
        <w:sz w:val="16"/>
      </w:rPr>
      <w:fldChar w:fldCharType="separate"/>
    </w:r>
    <w:r w:rsidR="00D25173">
      <w:rPr>
        <w:rStyle w:val="PageNumber"/>
        <w:rFonts w:ascii="Tahoma" w:hAnsi="Tahoma" w:cs="Tahoma"/>
        <w:noProof/>
        <w:sz w:val="16"/>
      </w:rPr>
      <w:t>1</w:t>
    </w:r>
    <w:r w:rsidR="0021017D" w:rsidRPr="00C20A5B">
      <w:rPr>
        <w:rStyle w:val="PageNumber"/>
        <w:rFonts w:ascii="Tahoma" w:hAnsi="Tahoma" w:cs="Tahoma"/>
        <w:sz w:val="16"/>
      </w:rPr>
      <w:fldChar w:fldCharType="end"/>
    </w:r>
    <w:r w:rsidR="0021017D" w:rsidRPr="00C20A5B">
      <w:rPr>
        <w:rFonts w:ascii="Tahoma" w:hAnsi="Tahoma" w:cs="Tahoma"/>
        <w:sz w:val="16"/>
      </w:rPr>
      <w:t xml:space="preserve"> of </w:t>
    </w:r>
    <w:r w:rsidR="0021017D" w:rsidRPr="00C20A5B">
      <w:rPr>
        <w:rFonts w:ascii="Tahoma" w:hAnsi="Tahoma" w:cs="Tahoma"/>
        <w:sz w:val="16"/>
        <w:szCs w:val="16"/>
      </w:rPr>
      <w:fldChar w:fldCharType="begin"/>
    </w:r>
    <w:r w:rsidR="0021017D" w:rsidRPr="00C20A5B">
      <w:rPr>
        <w:rFonts w:ascii="Tahoma" w:hAnsi="Tahoma" w:cs="Tahoma"/>
        <w:sz w:val="16"/>
        <w:szCs w:val="16"/>
      </w:rPr>
      <w:instrText xml:space="preserve"> NUMPAGES  </w:instrText>
    </w:r>
    <w:r w:rsidR="0021017D" w:rsidRPr="00C20A5B">
      <w:rPr>
        <w:rFonts w:ascii="Tahoma" w:hAnsi="Tahoma" w:cs="Tahoma"/>
        <w:sz w:val="16"/>
        <w:szCs w:val="16"/>
      </w:rPr>
      <w:fldChar w:fldCharType="separate"/>
    </w:r>
    <w:r w:rsidR="00D25173">
      <w:rPr>
        <w:rFonts w:ascii="Tahoma" w:hAnsi="Tahoma" w:cs="Tahoma"/>
        <w:noProof/>
        <w:sz w:val="16"/>
        <w:szCs w:val="16"/>
      </w:rPr>
      <w:t>2</w:t>
    </w:r>
    <w:r w:rsidR="0021017D" w:rsidRPr="00C20A5B">
      <w:rPr>
        <w:rFonts w:ascii="Tahoma" w:hAnsi="Tahoma" w:cs="Tahoma"/>
        <w:sz w:val="16"/>
        <w:szCs w:val="16"/>
      </w:rPr>
      <w:fldChar w:fldCharType="end"/>
    </w:r>
  </w:p>
  <w:p w14:paraId="478D521D" w14:textId="77777777" w:rsidR="00847CED" w:rsidRPr="0021017D" w:rsidRDefault="00847CED" w:rsidP="00210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1C02" w14:textId="77777777" w:rsidR="00CF742C" w:rsidRDefault="00CF742C" w:rsidP="00714039">
      <w:pPr>
        <w:spacing w:after="0" w:line="240" w:lineRule="auto"/>
      </w:pPr>
      <w:r>
        <w:separator/>
      </w:r>
    </w:p>
  </w:footnote>
  <w:footnote w:type="continuationSeparator" w:id="0">
    <w:p w14:paraId="4EF311D7" w14:textId="77777777" w:rsidR="00CF742C" w:rsidRDefault="00CF742C" w:rsidP="0071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8754" w14:textId="1DCAFF5B" w:rsidR="00CB1A0E" w:rsidRDefault="00CB1A0E" w:rsidP="00714039">
    <w:pPr>
      <w:pStyle w:val="Header"/>
      <w:jc w:val="center"/>
      <w:rPr>
        <w:b/>
        <w:color w:val="7F7F7F" w:themeColor="text1" w:themeTint="80"/>
      </w:rPr>
    </w:pPr>
  </w:p>
  <w:p w14:paraId="3E005105" w14:textId="5799B298" w:rsidR="00714039" w:rsidRPr="004251A8" w:rsidRDefault="00714039" w:rsidP="00714039">
    <w:pPr>
      <w:pStyle w:val="Header"/>
      <w:jc w:val="center"/>
      <w:rPr>
        <w:rFonts w:ascii="Tahoma" w:hAnsi="Tahoma" w:cs="Tahoma"/>
        <w:b/>
        <w:color w:val="7F7F7F" w:themeColor="text1" w:themeTint="80"/>
        <w:sz w:val="16"/>
        <w:szCs w:val="16"/>
      </w:rPr>
    </w:pPr>
    <w:r w:rsidRPr="004251A8">
      <w:rPr>
        <w:rFonts w:ascii="Tahoma" w:hAnsi="Tahoma" w:cs="Tahoma"/>
        <w:b/>
        <w:color w:val="7F7F7F" w:themeColor="text1" w:themeTint="80"/>
        <w:sz w:val="16"/>
        <w:szCs w:val="16"/>
      </w:rPr>
      <w:t>Local Procedure Template</w:t>
    </w:r>
  </w:p>
  <w:p w14:paraId="2D310CCD" w14:textId="77777777" w:rsidR="00714039" w:rsidRDefault="0071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CDE"/>
    <w:multiLevelType w:val="hybridMultilevel"/>
    <w:tmpl w:val="08DE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682D"/>
    <w:multiLevelType w:val="multilevel"/>
    <w:tmpl w:val="A684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4C4"/>
    <w:multiLevelType w:val="multilevel"/>
    <w:tmpl w:val="269A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F42CA"/>
    <w:multiLevelType w:val="multilevel"/>
    <w:tmpl w:val="E3AC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13EB0"/>
    <w:multiLevelType w:val="multilevel"/>
    <w:tmpl w:val="39E0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91D83"/>
    <w:multiLevelType w:val="multilevel"/>
    <w:tmpl w:val="D514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B975270"/>
    <w:multiLevelType w:val="hybridMultilevel"/>
    <w:tmpl w:val="94ACF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605BF"/>
    <w:multiLevelType w:val="hybridMultilevel"/>
    <w:tmpl w:val="2084E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9271F"/>
    <w:multiLevelType w:val="multilevel"/>
    <w:tmpl w:val="2ABA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C0FBC"/>
    <w:multiLevelType w:val="multilevel"/>
    <w:tmpl w:val="A66A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63827"/>
    <w:multiLevelType w:val="hybridMultilevel"/>
    <w:tmpl w:val="D1AE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C0C3E"/>
    <w:multiLevelType w:val="multilevel"/>
    <w:tmpl w:val="A0A6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A1229"/>
    <w:multiLevelType w:val="multilevel"/>
    <w:tmpl w:val="E7BC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724A8C"/>
    <w:multiLevelType w:val="hybridMultilevel"/>
    <w:tmpl w:val="26782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85F484D"/>
    <w:multiLevelType w:val="hybridMultilevel"/>
    <w:tmpl w:val="EFD6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5B04F3"/>
    <w:multiLevelType w:val="multilevel"/>
    <w:tmpl w:val="1F24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F45B6"/>
    <w:multiLevelType w:val="multilevel"/>
    <w:tmpl w:val="11D8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64843">
    <w:abstractNumId w:val="6"/>
  </w:num>
  <w:num w:numId="2" w16cid:durableId="578172574">
    <w:abstractNumId w:val="14"/>
  </w:num>
  <w:num w:numId="3" w16cid:durableId="44454698">
    <w:abstractNumId w:val="17"/>
  </w:num>
  <w:num w:numId="4" w16cid:durableId="875044705">
    <w:abstractNumId w:val="1"/>
  </w:num>
  <w:num w:numId="5" w16cid:durableId="1522820849">
    <w:abstractNumId w:val="5"/>
  </w:num>
  <w:num w:numId="6" w16cid:durableId="54940789">
    <w:abstractNumId w:val="9"/>
  </w:num>
  <w:num w:numId="7" w16cid:durableId="1934043526">
    <w:abstractNumId w:val="13"/>
  </w:num>
  <w:num w:numId="8" w16cid:durableId="646545089">
    <w:abstractNumId w:val="3"/>
  </w:num>
  <w:num w:numId="9" w16cid:durableId="69697161">
    <w:abstractNumId w:val="10"/>
  </w:num>
  <w:num w:numId="10" w16cid:durableId="921449371">
    <w:abstractNumId w:val="2"/>
  </w:num>
  <w:num w:numId="11" w16cid:durableId="1643077096">
    <w:abstractNumId w:val="11"/>
  </w:num>
  <w:num w:numId="12" w16cid:durableId="1146164655">
    <w:abstractNumId w:val="16"/>
  </w:num>
  <w:num w:numId="13" w16cid:durableId="1675255236">
    <w:abstractNumId w:val="12"/>
  </w:num>
  <w:num w:numId="14" w16cid:durableId="1990481182">
    <w:abstractNumId w:val="4"/>
  </w:num>
  <w:num w:numId="15" w16cid:durableId="1911772603">
    <w:abstractNumId w:val="8"/>
  </w:num>
  <w:num w:numId="16" w16cid:durableId="404188672">
    <w:abstractNumId w:val="7"/>
  </w:num>
  <w:num w:numId="17" w16cid:durableId="1735928096">
    <w:abstractNumId w:val="15"/>
  </w:num>
  <w:num w:numId="18" w16cid:durableId="3823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39"/>
    <w:rsid w:val="00067E95"/>
    <w:rsid w:val="00072065"/>
    <w:rsid w:val="000B61CD"/>
    <w:rsid w:val="000E4296"/>
    <w:rsid w:val="000F6973"/>
    <w:rsid w:val="00127014"/>
    <w:rsid w:val="00141B4E"/>
    <w:rsid w:val="00187220"/>
    <w:rsid w:val="001C2CD5"/>
    <w:rsid w:val="001F544A"/>
    <w:rsid w:val="0021017D"/>
    <w:rsid w:val="0021316B"/>
    <w:rsid w:val="00215584"/>
    <w:rsid w:val="002240E8"/>
    <w:rsid w:val="00232096"/>
    <w:rsid w:val="00232404"/>
    <w:rsid w:val="00283F8F"/>
    <w:rsid w:val="00284399"/>
    <w:rsid w:val="002E607B"/>
    <w:rsid w:val="002E7BC7"/>
    <w:rsid w:val="002F2193"/>
    <w:rsid w:val="002F29DB"/>
    <w:rsid w:val="00300A3E"/>
    <w:rsid w:val="003134AE"/>
    <w:rsid w:val="00336DC7"/>
    <w:rsid w:val="00364BDB"/>
    <w:rsid w:val="003808CB"/>
    <w:rsid w:val="003863AB"/>
    <w:rsid w:val="003C4263"/>
    <w:rsid w:val="003F7118"/>
    <w:rsid w:val="004251A8"/>
    <w:rsid w:val="004A3DF9"/>
    <w:rsid w:val="004B3015"/>
    <w:rsid w:val="004B6D43"/>
    <w:rsid w:val="00530F46"/>
    <w:rsid w:val="005607AF"/>
    <w:rsid w:val="006004AA"/>
    <w:rsid w:val="00642578"/>
    <w:rsid w:val="006A0CEB"/>
    <w:rsid w:val="006B5B79"/>
    <w:rsid w:val="006E1F6E"/>
    <w:rsid w:val="006F60F3"/>
    <w:rsid w:val="0070709C"/>
    <w:rsid w:val="00714039"/>
    <w:rsid w:val="007232A8"/>
    <w:rsid w:val="00753AE2"/>
    <w:rsid w:val="00784DBC"/>
    <w:rsid w:val="007B05E9"/>
    <w:rsid w:val="007E322A"/>
    <w:rsid w:val="008214D7"/>
    <w:rsid w:val="00826C87"/>
    <w:rsid w:val="00847CED"/>
    <w:rsid w:val="00864F72"/>
    <w:rsid w:val="0087286F"/>
    <w:rsid w:val="008B35B0"/>
    <w:rsid w:val="008C0321"/>
    <w:rsid w:val="009116DB"/>
    <w:rsid w:val="00932625"/>
    <w:rsid w:val="00941E54"/>
    <w:rsid w:val="00A0617B"/>
    <w:rsid w:val="00A372C0"/>
    <w:rsid w:val="00A616E4"/>
    <w:rsid w:val="00A6449E"/>
    <w:rsid w:val="00A91203"/>
    <w:rsid w:val="00AA4CBB"/>
    <w:rsid w:val="00AA6614"/>
    <w:rsid w:val="00AD3141"/>
    <w:rsid w:val="00AF6758"/>
    <w:rsid w:val="00B226C9"/>
    <w:rsid w:val="00B24B26"/>
    <w:rsid w:val="00BE3E68"/>
    <w:rsid w:val="00BE4844"/>
    <w:rsid w:val="00C04203"/>
    <w:rsid w:val="00C51D06"/>
    <w:rsid w:val="00CA15C8"/>
    <w:rsid w:val="00CA73FF"/>
    <w:rsid w:val="00CB1A0E"/>
    <w:rsid w:val="00CF742C"/>
    <w:rsid w:val="00D0023C"/>
    <w:rsid w:val="00D07AD1"/>
    <w:rsid w:val="00D155D7"/>
    <w:rsid w:val="00D25173"/>
    <w:rsid w:val="00D36B5A"/>
    <w:rsid w:val="00DC1DFA"/>
    <w:rsid w:val="00E12511"/>
    <w:rsid w:val="00E16D69"/>
    <w:rsid w:val="00E546AA"/>
    <w:rsid w:val="00E65D9B"/>
    <w:rsid w:val="00E7344E"/>
    <w:rsid w:val="00ED27F4"/>
    <w:rsid w:val="00EF4FBB"/>
    <w:rsid w:val="00F0085D"/>
    <w:rsid w:val="00F066E7"/>
    <w:rsid w:val="00F116BD"/>
    <w:rsid w:val="00F21E60"/>
    <w:rsid w:val="00F60B42"/>
    <w:rsid w:val="00FA614F"/>
    <w:rsid w:val="00FE1B0D"/>
    <w:rsid w:val="00FE4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60AC"/>
  <w15:docId w15:val="{78E7C3D6-D1C3-4A4C-A176-7B412F32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7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7C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47C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47C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47C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47C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C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CE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21017D"/>
  </w:style>
  <w:style w:type="character" w:styleId="CommentReference">
    <w:name w:val="annotation reference"/>
    <w:basedOn w:val="DefaultParagraphFont"/>
    <w:uiPriority w:val="99"/>
    <w:semiHidden/>
    <w:unhideWhenUsed/>
    <w:rsid w:val="00284399"/>
    <w:rPr>
      <w:sz w:val="16"/>
      <w:szCs w:val="16"/>
    </w:rPr>
  </w:style>
  <w:style w:type="paragraph" w:styleId="CommentText">
    <w:name w:val="annotation text"/>
    <w:basedOn w:val="Normal"/>
    <w:link w:val="CommentTextChar"/>
    <w:uiPriority w:val="99"/>
    <w:unhideWhenUsed/>
    <w:rsid w:val="00284399"/>
    <w:pPr>
      <w:spacing w:line="240" w:lineRule="auto"/>
    </w:pPr>
    <w:rPr>
      <w:sz w:val="20"/>
      <w:szCs w:val="20"/>
    </w:rPr>
  </w:style>
  <w:style w:type="character" w:customStyle="1" w:styleId="CommentTextChar">
    <w:name w:val="Comment Text Char"/>
    <w:basedOn w:val="DefaultParagraphFont"/>
    <w:link w:val="CommentText"/>
    <w:uiPriority w:val="99"/>
    <w:rsid w:val="00284399"/>
    <w:rPr>
      <w:sz w:val="20"/>
      <w:szCs w:val="20"/>
    </w:rPr>
  </w:style>
  <w:style w:type="paragraph" w:styleId="CommentSubject">
    <w:name w:val="annotation subject"/>
    <w:basedOn w:val="CommentText"/>
    <w:next w:val="CommentText"/>
    <w:link w:val="CommentSubjectChar"/>
    <w:uiPriority w:val="99"/>
    <w:semiHidden/>
    <w:unhideWhenUsed/>
    <w:rsid w:val="00284399"/>
    <w:rPr>
      <w:b/>
      <w:bCs/>
    </w:rPr>
  </w:style>
  <w:style w:type="character" w:customStyle="1" w:styleId="CommentSubjectChar">
    <w:name w:val="Comment Subject Char"/>
    <w:basedOn w:val="CommentTextChar"/>
    <w:link w:val="CommentSubject"/>
    <w:uiPriority w:val="99"/>
    <w:semiHidden/>
    <w:rsid w:val="00284399"/>
    <w:rPr>
      <w:b/>
      <w:bCs/>
      <w:sz w:val="20"/>
      <w:szCs w:val="20"/>
    </w:rPr>
  </w:style>
  <w:style w:type="paragraph" w:styleId="Revision">
    <w:name w:val="Revision"/>
    <w:hidden/>
    <w:uiPriority w:val="99"/>
    <w:semiHidden/>
    <w:rsid w:val="00284399"/>
    <w:pPr>
      <w:spacing w:after="0" w:line="240" w:lineRule="auto"/>
    </w:pPr>
  </w:style>
  <w:style w:type="paragraph" w:styleId="NormalWeb">
    <w:name w:val="Normal (Web)"/>
    <w:basedOn w:val="Normal"/>
    <w:uiPriority w:val="99"/>
    <w:unhideWhenUsed/>
    <w:rsid w:val="00826C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9B6CCB69E9E4E9BCBF865A8C9359C" ma:contentTypeVersion="16" ma:contentTypeDescription="Create a new document." ma:contentTypeScope="" ma:versionID="062f460aefed5f7039e4e5dde492d8c6">
  <xsd:schema xmlns:xsd="http://www.w3.org/2001/XMLSchema" xmlns:xs="http://www.w3.org/2001/XMLSchema" xmlns:p="http://schemas.microsoft.com/office/2006/metadata/properties" xmlns:ns2="f301a824-12ae-4b87-96ce-8bd46e178b0d" xmlns:ns3="004d13b7-96c3-4ca1-b4ae-a9ac1cf50d3f" targetNamespace="http://schemas.microsoft.com/office/2006/metadata/properties" ma:root="true" ma:fieldsID="30dabe4f60557786d9bd5e42747630e5" ns2:_="" ns3:_="">
    <xsd:import namespace="f301a824-12ae-4b87-96ce-8bd46e178b0d"/>
    <xsd:import namespace="004d13b7-96c3-4ca1-b4ae-a9ac1cf50d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1a824-12ae-4b87-96ce-8bd46e178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79bdcd2-fc57-4517-ad87-cbc1f9d6a93c}" ma:internalName="TaxCatchAll" ma:showField="CatchAllData" ma:web="f301a824-12ae-4b87-96ce-8bd46e178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4d13b7-96c3-4ca1-b4ae-a9ac1cf50d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01a824-12ae-4b87-96ce-8bd46e178b0d" xsi:nil="true"/>
    <lcf76f155ced4ddcb4097134ff3c332f xmlns="004d13b7-96c3-4ca1-b4ae-a9ac1cf50d3f">
      <Terms xmlns="http://schemas.microsoft.com/office/infopath/2007/PartnerControls"/>
    </lcf76f155ced4ddcb4097134ff3c332f>
    <_dlc_DocId xmlns="f301a824-12ae-4b87-96ce-8bd46e178b0d">YDUQXXY7F45Q-1181653311-642893</_dlc_DocId>
    <_dlc_DocIdUrl xmlns="f301a824-12ae-4b87-96ce-8bd46e178b0d">
      <Url>https://aspriscs.sharepoint.com/sites/ClayHillCoxlease/_layouts/15/DocIdRedir.aspx?ID=YDUQXXY7F45Q-1181653311-642893</Url>
      <Description>YDUQXXY7F45Q-1181653311-642893</Description>
    </_dlc_DocIdUrl>
  </documentManagement>
</p:properties>
</file>

<file path=customXml/itemProps1.xml><?xml version="1.0" encoding="utf-8"?>
<ds:datastoreItem xmlns:ds="http://schemas.openxmlformats.org/officeDocument/2006/customXml" ds:itemID="{600E65C7-7A02-4C9F-9901-9A492E067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1a824-12ae-4b87-96ce-8bd46e178b0d"/>
    <ds:schemaRef ds:uri="004d13b7-96c3-4ca1-b4ae-a9ac1cf50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9564B-C759-4145-B8A6-145BC4C847CC}">
  <ds:schemaRefs>
    <ds:schemaRef ds:uri="http://schemas.microsoft.com/sharepoint/events"/>
  </ds:schemaRefs>
</ds:datastoreItem>
</file>

<file path=customXml/itemProps3.xml><?xml version="1.0" encoding="utf-8"?>
<ds:datastoreItem xmlns:ds="http://schemas.openxmlformats.org/officeDocument/2006/customXml" ds:itemID="{A8714820-AC9E-47AB-BE8F-21BD6F468986}">
  <ds:schemaRefs>
    <ds:schemaRef ds:uri="http://schemas.microsoft.com/sharepoint/v3/contenttype/forms"/>
  </ds:schemaRefs>
</ds:datastoreItem>
</file>

<file path=customXml/itemProps4.xml><?xml version="1.0" encoding="utf-8"?>
<ds:datastoreItem xmlns:ds="http://schemas.openxmlformats.org/officeDocument/2006/customXml" ds:itemID="{4D26CFB0-26D4-45E8-A2BB-16BE40A19886}">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004d13b7-96c3-4ca1-b4ae-a9ac1cf50d3f"/>
    <ds:schemaRef ds:uri="http://purl.org/dc/dcmitype/"/>
    <ds:schemaRef ds:uri="http://purl.org/dc/terms/"/>
    <ds:schemaRef ds:uri="f301a824-12ae-4b87-96ce-8bd46e178b0d"/>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Priorygroup.com</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Rickson</dc:creator>
  <cp:lastModifiedBy>Lisle Smith</cp:lastModifiedBy>
  <cp:revision>2</cp:revision>
  <dcterms:created xsi:type="dcterms:W3CDTF">2025-09-29T10:08:00Z</dcterms:created>
  <dcterms:modified xsi:type="dcterms:W3CDTF">2025-09-29T10:08:00Z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0x010100A239B6CCB69E9E4E9BCBF865A8C9359C</vt:lpwstr>
  </property>
  <property fmtid="{D5CDD505-2E9C-101B-9397-08002B2CF9AE}" pid="3" name="_dlc_DocIdItemGuid">
    <vt:lpwstr>fa92b903-6701-46b8-930e-e9bf2f6bc27e</vt:lpwstr>
  </property>
</Properties>
</file>