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223BC" w14:textId="77777777" w:rsidR="007B090E" w:rsidRPr="007B090E" w:rsidRDefault="007B090E" w:rsidP="007B090E">
      <w:pPr>
        <w:spacing w:after="0"/>
        <w:rPr>
          <w:u w:val="single"/>
          <w:lang w:val="en-US"/>
        </w:rPr>
      </w:pPr>
    </w:p>
    <w:p w14:paraId="6B41B87D" w14:textId="7207C1E0" w:rsidR="007B090E" w:rsidRPr="007B090E" w:rsidRDefault="007B090E" w:rsidP="007B090E">
      <w:pPr>
        <w:spacing w:after="0"/>
        <w:rPr>
          <w:b/>
          <w:u w:val="single"/>
        </w:rPr>
      </w:pPr>
      <w:r w:rsidRPr="007B090E">
        <w:rPr>
          <w:b/>
          <w:noProof/>
        </w:rPr>
        <w:drawing>
          <wp:inline distT="0" distB="0" distL="0" distR="0" wp14:anchorId="22A2A50A" wp14:editId="23864B69">
            <wp:extent cx="3352800" cy="1085850"/>
            <wp:effectExtent l="0" t="0" r="0" b="0"/>
            <wp:docPr id="11718491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0" cy="1085850"/>
                    </a:xfrm>
                    <a:prstGeom prst="rect">
                      <a:avLst/>
                    </a:prstGeom>
                    <a:noFill/>
                    <a:ln>
                      <a:noFill/>
                    </a:ln>
                  </pic:spPr>
                </pic:pic>
              </a:graphicData>
            </a:graphic>
          </wp:inline>
        </w:drawing>
      </w:r>
    </w:p>
    <w:p w14:paraId="534F8167" w14:textId="77777777" w:rsidR="007B090E" w:rsidRPr="007B090E" w:rsidRDefault="007B090E" w:rsidP="007B090E">
      <w:pPr>
        <w:spacing w:after="0"/>
        <w:rPr>
          <w:b/>
        </w:rPr>
      </w:pPr>
    </w:p>
    <w:p w14:paraId="2C243F22" w14:textId="77777777" w:rsidR="007B090E" w:rsidRPr="007B090E" w:rsidRDefault="007B090E" w:rsidP="007B090E">
      <w:pPr>
        <w:spacing w:after="0"/>
        <w:rPr>
          <w:b/>
        </w:rPr>
      </w:pPr>
    </w:p>
    <w:p w14:paraId="0596D8B7" w14:textId="77777777" w:rsidR="007B090E" w:rsidRPr="007B090E" w:rsidRDefault="007B090E" w:rsidP="007B090E">
      <w:pPr>
        <w:spacing w:after="0"/>
        <w:rPr>
          <w:b/>
        </w:rPr>
      </w:pPr>
    </w:p>
    <w:p w14:paraId="67136716" w14:textId="32C24747" w:rsidR="007B090E" w:rsidRPr="007B090E" w:rsidRDefault="007B090E" w:rsidP="007B090E">
      <w:pPr>
        <w:spacing w:after="0"/>
        <w:jc w:val="center"/>
        <w:rPr>
          <w:b/>
          <w:bCs/>
          <w:color w:val="548DD4" w:themeColor="text2" w:themeTint="99"/>
          <w:sz w:val="56"/>
          <w:szCs w:val="56"/>
        </w:rPr>
      </w:pPr>
      <w:r w:rsidRPr="007B090E">
        <w:rPr>
          <w:b/>
          <w:color w:val="548DD4" w:themeColor="text2" w:themeTint="99"/>
          <w:sz w:val="56"/>
          <w:szCs w:val="56"/>
        </w:rPr>
        <w:t>Newbury Manor School</w:t>
      </w:r>
    </w:p>
    <w:p w14:paraId="6E669D0B" w14:textId="53BCDD5C" w:rsidR="007B090E" w:rsidRPr="007B090E" w:rsidRDefault="007B090E" w:rsidP="007B090E">
      <w:pPr>
        <w:spacing w:after="0"/>
        <w:rPr>
          <w:b/>
          <w:bCs/>
        </w:rPr>
      </w:pPr>
      <w:r w:rsidRPr="007B090E">
        <w:rPr>
          <w:noProof/>
        </w:rPr>
        <w:drawing>
          <wp:anchor distT="0" distB="0" distL="114300" distR="114300" simplePos="0" relativeHeight="251659264" behindDoc="0" locked="0" layoutInCell="1" allowOverlap="1" wp14:anchorId="28C181F0" wp14:editId="70FA773A">
            <wp:simplePos x="0" y="0"/>
            <wp:positionH relativeFrom="column">
              <wp:posOffset>544195</wp:posOffset>
            </wp:positionH>
            <wp:positionV relativeFrom="paragraph">
              <wp:posOffset>67310</wp:posOffset>
            </wp:positionV>
            <wp:extent cx="4700270" cy="3536315"/>
            <wp:effectExtent l="19050" t="19050" r="24130" b="26035"/>
            <wp:wrapNone/>
            <wp:docPr id="3391514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0270" cy="35363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1A397F8" w14:textId="77777777" w:rsidR="007B090E" w:rsidRPr="007B090E" w:rsidRDefault="007B090E" w:rsidP="007B090E">
      <w:pPr>
        <w:spacing w:after="0"/>
        <w:rPr>
          <w:b/>
          <w:bCs/>
        </w:rPr>
      </w:pPr>
    </w:p>
    <w:p w14:paraId="2C09F15E" w14:textId="77777777" w:rsidR="007B090E" w:rsidRPr="007B090E" w:rsidRDefault="007B090E" w:rsidP="007B090E">
      <w:pPr>
        <w:spacing w:after="0"/>
        <w:rPr>
          <w:b/>
          <w:bCs/>
        </w:rPr>
      </w:pPr>
    </w:p>
    <w:p w14:paraId="147D68C3" w14:textId="77777777" w:rsidR="007B090E" w:rsidRPr="007B090E" w:rsidRDefault="007B090E" w:rsidP="007B090E">
      <w:pPr>
        <w:spacing w:after="0"/>
        <w:rPr>
          <w:b/>
          <w:bCs/>
        </w:rPr>
      </w:pPr>
    </w:p>
    <w:p w14:paraId="2A28AA80" w14:textId="77777777" w:rsidR="007B090E" w:rsidRPr="007B090E" w:rsidRDefault="007B090E" w:rsidP="007B090E">
      <w:pPr>
        <w:spacing w:after="0"/>
        <w:rPr>
          <w:b/>
          <w:bCs/>
        </w:rPr>
      </w:pPr>
    </w:p>
    <w:p w14:paraId="7521CA09" w14:textId="77777777" w:rsidR="007B090E" w:rsidRPr="007B090E" w:rsidRDefault="007B090E" w:rsidP="007B090E">
      <w:pPr>
        <w:spacing w:after="0"/>
        <w:rPr>
          <w:b/>
          <w:bCs/>
        </w:rPr>
      </w:pPr>
    </w:p>
    <w:p w14:paraId="2C50BDCC" w14:textId="77777777" w:rsidR="007B090E" w:rsidRPr="007B090E" w:rsidRDefault="007B090E" w:rsidP="007B090E">
      <w:pPr>
        <w:spacing w:after="0"/>
        <w:rPr>
          <w:b/>
          <w:bCs/>
        </w:rPr>
      </w:pPr>
    </w:p>
    <w:p w14:paraId="308DFEC5" w14:textId="77777777" w:rsidR="007B090E" w:rsidRPr="007B090E" w:rsidRDefault="007B090E" w:rsidP="007B090E">
      <w:pPr>
        <w:spacing w:after="0"/>
        <w:rPr>
          <w:b/>
          <w:bCs/>
        </w:rPr>
      </w:pPr>
    </w:p>
    <w:p w14:paraId="5273A63B" w14:textId="77777777" w:rsidR="007B090E" w:rsidRPr="007B090E" w:rsidRDefault="007B090E" w:rsidP="007B090E">
      <w:pPr>
        <w:spacing w:after="0"/>
        <w:rPr>
          <w:b/>
          <w:bCs/>
        </w:rPr>
      </w:pPr>
    </w:p>
    <w:p w14:paraId="0E4E5057" w14:textId="77777777" w:rsidR="007B090E" w:rsidRDefault="007B090E" w:rsidP="00CD52FA">
      <w:pPr>
        <w:spacing w:after="0"/>
      </w:pPr>
    </w:p>
    <w:p w14:paraId="03BC3C85" w14:textId="77777777" w:rsidR="007B090E" w:rsidRDefault="007B090E" w:rsidP="00CD52FA">
      <w:pPr>
        <w:spacing w:after="0"/>
      </w:pPr>
    </w:p>
    <w:p w14:paraId="767373E7" w14:textId="77777777" w:rsidR="007B090E" w:rsidRDefault="007B090E" w:rsidP="00CD52FA">
      <w:pPr>
        <w:spacing w:after="0"/>
      </w:pPr>
    </w:p>
    <w:p w14:paraId="13618A6A" w14:textId="77777777" w:rsidR="007B090E" w:rsidRDefault="007B090E" w:rsidP="00CD52FA">
      <w:pPr>
        <w:spacing w:after="0"/>
      </w:pPr>
    </w:p>
    <w:p w14:paraId="61B18129" w14:textId="77777777" w:rsidR="007B090E" w:rsidRDefault="007B090E" w:rsidP="00CD52FA">
      <w:pPr>
        <w:spacing w:after="0"/>
      </w:pPr>
    </w:p>
    <w:p w14:paraId="42B7A8F6" w14:textId="77777777" w:rsidR="007B090E" w:rsidRDefault="007B090E" w:rsidP="00CD52FA">
      <w:pPr>
        <w:spacing w:after="0"/>
      </w:pPr>
    </w:p>
    <w:p w14:paraId="2C94FC6E" w14:textId="77777777" w:rsidR="007B090E" w:rsidRDefault="007B090E" w:rsidP="00CD52FA">
      <w:pPr>
        <w:spacing w:after="0"/>
      </w:pPr>
    </w:p>
    <w:p w14:paraId="509FDC5A" w14:textId="77777777" w:rsidR="007B090E" w:rsidRDefault="007B090E" w:rsidP="00CD52FA">
      <w:pPr>
        <w:spacing w:after="0"/>
      </w:pPr>
    </w:p>
    <w:p w14:paraId="56E16B59" w14:textId="77777777" w:rsidR="007B090E" w:rsidRDefault="007B090E" w:rsidP="00CD52FA">
      <w:pPr>
        <w:spacing w:after="0"/>
      </w:pPr>
    </w:p>
    <w:p w14:paraId="52A6AF22" w14:textId="77777777" w:rsidR="007B090E" w:rsidRDefault="007B090E" w:rsidP="00CD52FA">
      <w:pPr>
        <w:spacing w:after="0"/>
      </w:pPr>
    </w:p>
    <w:p w14:paraId="209A2ED6" w14:textId="77777777" w:rsidR="007B090E" w:rsidRDefault="007B090E" w:rsidP="00CD52FA">
      <w:pPr>
        <w:spacing w:after="0"/>
      </w:pPr>
    </w:p>
    <w:p w14:paraId="254A5864" w14:textId="3A1044FA" w:rsidR="007B090E" w:rsidRPr="007B090E" w:rsidRDefault="007B090E" w:rsidP="007B090E">
      <w:pPr>
        <w:spacing w:after="0"/>
        <w:jc w:val="center"/>
        <w:rPr>
          <w:b/>
          <w:bCs/>
          <w:color w:val="548DD4" w:themeColor="text2" w:themeTint="99"/>
          <w:sz w:val="56"/>
          <w:szCs w:val="56"/>
        </w:rPr>
      </w:pPr>
      <w:r w:rsidRPr="007B090E">
        <w:rPr>
          <w:b/>
          <w:bCs/>
          <w:color w:val="548DD4" w:themeColor="text2" w:themeTint="99"/>
          <w:sz w:val="56"/>
          <w:szCs w:val="56"/>
        </w:rPr>
        <w:t>Admissions Policy</w:t>
      </w:r>
    </w:p>
    <w:p w14:paraId="4A210F3D" w14:textId="377C0FA9" w:rsidR="007B090E" w:rsidRPr="007B090E" w:rsidRDefault="007B090E" w:rsidP="007B090E">
      <w:pPr>
        <w:spacing w:after="0"/>
        <w:jc w:val="center"/>
        <w:rPr>
          <w:b/>
          <w:bCs/>
          <w:color w:val="548DD4" w:themeColor="text2" w:themeTint="99"/>
          <w:sz w:val="56"/>
          <w:szCs w:val="56"/>
        </w:rPr>
      </w:pPr>
      <w:r w:rsidRPr="007B090E">
        <w:rPr>
          <w:b/>
          <w:bCs/>
          <w:color w:val="548DD4" w:themeColor="text2" w:themeTint="99"/>
          <w:sz w:val="56"/>
          <w:szCs w:val="56"/>
        </w:rPr>
        <w:t>September 202</w:t>
      </w:r>
      <w:r w:rsidR="00090E35">
        <w:rPr>
          <w:b/>
          <w:bCs/>
          <w:color w:val="548DD4" w:themeColor="text2" w:themeTint="99"/>
          <w:sz w:val="56"/>
          <w:szCs w:val="56"/>
        </w:rPr>
        <w:t>6</w:t>
      </w:r>
    </w:p>
    <w:p w14:paraId="6531BCFC" w14:textId="77777777" w:rsidR="007B090E" w:rsidRDefault="007B090E" w:rsidP="00CD52FA">
      <w:pPr>
        <w:spacing w:after="0"/>
      </w:pPr>
    </w:p>
    <w:p w14:paraId="734E6279" w14:textId="77777777" w:rsidR="007B090E" w:rsidRDefault="007B090E" w:rsidP="00CD52FA">
      <w:pPr>
        <w:spacing w:after="0"/>
      </w:pPr>
    </w:p>
    <w:p w14:paraId="192544B7" w14:textId="77777777" w:rsidR="007B090E" w:rsidRDefault="007B090E" w:rsidP="00CD52FA">
      <w:pPr>
        <w:spacing w:after="0"/>
      </w:pPr>
    </w:p>
    <w:p w14:paraId="6A31570C" w14:textId="77777777" w:rsidR="007B090E" w:rsidRDefault="007B090E" w:rsidP="00CD52FA">
      <w:pPr>
        <w:spacing w:after="0"/>
      </w:pPr>
    </w:p>
    <w:p w14:paraId="53A6EBD4" w14:textId="77777777" w:rsidR="007B090E" w:rsidRDefault="007B090E" w:rsidP="00CD52FA">
      <w:pPr>
        <w:spacing w:after="0"/>
      </w:pPr>
    </w:p>
    <w:p w14:paraId="579E4C28" w14:textId="77777777" w:rsidR="007B090E" w:rsidRDefault="007B090E" w:rsidP="00CD52FA">
      <w:pPr>
        <w:spacing w:after="0"/>
      </w:pPr>
    </w:p>
    <w:p w14:paraId="1B5AA753" w14:textId="77777777" w:rsidR="007B090E" w:rsidRDefault="007B090E" w:rsidP="00CD52FA">
      <w:pPr>
        <w:spacing w:after="0"/>
      </w:pPr>
    </w:p>
    <w:p w14:paraId="2EC2CA3B" w14:textId="77777777" w:rsidR="007B090E" w:rsidRDefault="007B090E" w:rsidP="00CD52FA">
      <w:pPr>
        <w:spacing w:after="0"/>
      </w:pPr>
    </w:p>
    <w:tbl>
      <w:tblPr>
        <w:tblStyle w:val="TableGrid"/>
        <w:tblW w:w="0" w:type="auto"/>
        <w:tblLook w:val="04A0" w:firstRow="1" w:lastRow="0" w:firstColumn="1" w:lastColumn="0" w:noHBand="0" w:noVBand="1"/>
      </w:tblPr>
      <w:tblGrid>
        <w:gridCol w:w="9016"/>
      </w:tblGrid>
      <w:tr w:rsidR="00743CEA" w14:paraId="73228FCB" w14:textId="77777777" w:rsidTr="007F4C58">
        <w:tc>
          <w:tcPr>
            <w:tcW w:w="9016" w:type="dxa"/>
            <w:hideMark/>
          </w:tcPr>
          <w:p w14:paraId="03BFE0DF" w14:textId="5A8960B8" w:rsidR="00743CEA" w:rsidRDefault="5E496199" w:rsidP="2B96F21C">
            <w:r w:rsidRPr="2B96F21C">
              <w:rPr>
                <w:rFonts w:ascii="Calibri" w:eastAsia="Calibri" w:hAnsi="Calibri" w:cs="Calibri"/>
                <w:b/>
                <w:bCs/>
                <w:color w:val="000000" w:themeColor="text1"/>
                <w:sz w:val="19"/>
                <w:szCs w:val="19"/>
              </w:rPr>
              <w:lastRenderedPageBreak/>
              <w:t>Aims</w:t>
            </w:r>
          </w:p>
        </w:tc>
      </w:tr>
      <w:tr w:rsidR="00743CEA" w14:paraId="1F919AC1" w14:textId="77777777" w:rsidTr="007F4C58">
        <w:tc>
          <w:tcPr>
            <w:tcW w:w="9016" w:type="dxa"/>
          </w:tcPr>
          <w:p w14:paraId="7D946562" w14:textId="33AB97E1" w:rsidR="00743CEA" w:rsidRDefault="5E496199" w:rsidP="49213293">
            <w:pPr>
              <w:spacing w:line="276" w:lineRule="auto"/>
              <w:rPr>
                <w:rFonts w:ascii="Calibri" w:eastAsia="Calibri" w:hAnsi="Calibri" w:cs="Calibri"/>
                <w:color w:val="000000" w:themeColor="text1"/>
                <w:sz w:val="20"/>
                <w:szCs w:val="20"/>
              </w:rPr>
            </w:pPr>
            <w:r w:rsidRPr="49213293">
              <w:rPr>
                <w:rFonts w:ascii="Calibri" w:eastAsia="Calibri" w:hAnsi="Calibri" w:cs="Calibri"/>
                <w:color w:val="000000" w:themeColor="text1"/>
                <w:sz w:val="20"/>
                <w:szCs w:val="20"/>
              </w:rPr>
              <w:t>Each child or young person admitted to an Aspris Children’s Service should receive care and education appropriate to the needs and aims of their placement through ensuring:</w:t>
            </w:r>
          </w:p>
          <w:p w14:paraId="4517BFED" w14:textId="6A9AE12C" w:rsidR="00743CEA" w:rsidRDefault="5E496199" w:rsidP="49213293">
            <w:pPr>
              <w:pStyle w:val="ListParagraph"/>
              <w:numPr>
                <w:ilvl w:val="0"/>
                <w:numId w:val="2"/>
              </w:numPr>
              <w:spacing w:line="276" w:lineRule="auto"/>
              <w:rPr>
                <w:rFonts w:ascii="Calibri" w:eastAsia="Calibri" w:hAnsi="Calibri" w:cs="Calibri"/>
                <w:color w:val="000000" w:themeColor="text1"/>
                <w:sz w:val="20"/>
                <w:szCs w:val="20"/>
              </w:rPr>
            </w:pPr>
            <w:r w:rsidRPr="49213293">
              <w:rPr>
                <w:rFonts w:ascii="Calibri" w:eastAsia="Calibri" w:hAnsi="Calibri" w:cs="Calibri"/>
                <w:color w:val="000000" w:themeColor="text1"/>
                <w:sz w:val="20"/>
                <w:szCs w:val="20"/>
              </w:rPr>
              <w:t>Effective information gathering prior to placement</w:t>
            </w:r>
          </w:p>
          <w:p w14:paraId="43DC48FB" w14:textId="583A67F4" w:rsidR="00743CEA" w:rsidRDefault="5E496199" w:rsidP="49213293">
            <w:pPr>
              <w:pStyle w:val="ListParagraph"/>
              <w:numPr>
                <w:ilvl w:val="0"/>
                <w:numId w:val="2"/>
              </w:numPr>
              <w:spacing w:line="276" w:lineRule="auto"/>
              <w:rPr>
                <w:rFonts w:ascii="Calibri" w:eastAsia="Calibri" w:hAnsi="Calibri" w:cs="Calibri"/>
                <w:color w:val="000000" w:themeColor="text1"/>
                <w:sz w:val="20"/>
                <w:szCs w:val="20"/>
              </w:rPr>
            </w:pPr>
            <w:r w:rsidRPr="49213293">
              <w:rPr>
                <w:rFonts w:ascii="Calibri" w:eastAsia="Calibri" w:hAnsi="Calibri" w:cs="Calibri"/>
                <w:color w:val="000000" w:themeColor="text1"/>
                <w:sz w:val="20"/>
                <w:szCs w:val="20"/>
              </w:rPr>
              <w:t>Effective placement matching</w:t>
            </w:r>
          </w:p>
          <w:p w14:paraId="0FF35536" w14:textId="470D4EAB" w:rsidR="00743CEA" w:rsidRDefault="5E496199" w:rsidP="49213293">
            <w:pPr>
              <w:pStyle w:val="ListParagraph"/>
              <w:numPr>
                <w:ilvl w:val="0"/>
                <w:numId w:val="2"/>
              </w:numPr>
              <w:shd w:val="clear" w:color="auto" w:fill="FFFFFF" w:themeFill="background1"/>
              <w:spacing w:before="200" w:after="200"/>
              <w:rPr>
                <w:rFonts w:ascii="Calibri" w:eastAsia="Calibri" w:hAnsi="Calibri" w:cs="Calibri"/>
                <w:color w:val="000000" w:themeColor="text1"/>
                <w:sz w:val="20"/>
                <w:szCs w:val="20"/>
              </w:rPr>
            </w:pPr>
            <w:r w:rsidRPr="49213293">
              <w:rPr>
                <w:rFonts w:ascii="Calibri" w:eastAsia="Calibri" w:hAnsi="Calibri" w:cs="Calibri"/>
                <w:color w:val="000000" w:themeColor="text1"/>
                <w:sz w:val="20"/>
                <w:szCs w:val="20"/>
              </w:rPr>
              <w:t>Effective preparation of colleagues to ensure needs are met.</w:t>
            </w:r>
          </w:p>
          <w:p w14:paraId="0518B2D7" w14:textId="5A9C543C" w:rsidR="00743CEA" w:rsidRDefault="00743CEA" w:rsidP="000033B3">
            <w:pPr>
              <w:pStyle w:val="ListParagraph"/>
              <w:ind w:left="318" w:hanging="318"/>
            </w:pPr>
          </w:p>
        </w:tc>
      </w:tr>
      <w:tr w:rsidR="00743CEA" w14:paraId="56B78A51" w14:textId="77777777" w:rsidTr="007F4C58">
        <w:tc>
          <w:tcPr>
            <w:tcW w:w="9016" w:type="dxa"/>
            <w:hideMark/>
          </w:tcPr>
          <w:p w14:paraId="2FEA9DE1" w14:textId="3FF912A1" w:rsidR="00743CEA" w:rsidRDefault="5E496199" w:rsidP="2B96F21C">
            <w:pPr>
              <w:pStyle w:val="ListParagraph"/>
              <w:numPr>
                <w:ilvl w:val="0"/>
                <w:numId w:val="1"/>
              </w:numPr>
            </w:pPr>
            <w:r w:rsidRPr="2B96F21C">
              <w:rPr>
                <w:rFonts w:ascii="Calibri" w:eastAsia="Calibri" w:hAnsi="Calibri" w:cs="Calibri"/>
                <w:b/>
                <w:bCs/>
                <w:color w:val="000000" w:themeColor="text1"/>
                <w:sz w:val="19"/>
                <w:szCs w:val="19"/>
              </w:rPr>
              <w:t>Admission process</w:t>
            </w:r>
          </w:p>
        </w:tc>
      </w:tr>
      <w:tr w:rsidR="00743CEA" w14:paraId="04D2E47F" w14:textId="77777777" w:rsidTr="007F4C58">
        <w:tc>
          <w:tcPr>
            <w:tcW w:w="9016" w:type="dxa"/>
          </w:tcPr>
          <w:p w14:paraId="64062597" w14:textId="690D5314" w:rsidR="00743CEA" w:rsidRDefault="5E496199" w:rsidP="00171FF2">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Referral is made through the Referrals co-ordinator and screened. If deemed to be appropriate within the remit of Newbury Manor School, then the referral and all supporting documentation is passed to the Headteacher and their supporting SLT. This will be completed within 24 hrs of initial referral.</w:t>
            </w:r>
          </w:p>
          <w:p w14:paraId="49CAFFD1" w14:textId="3FD2C197" w:rsidR="00743CEA" w:rsidRDefault="00743CEA" w:rsidP="2B96F21C">
            <w:pPr>
              <w:rPr>
                <w:rFonts w:ascii="Calibri" w:eastAsia="Calibri" w:hAnsi="Calibri" w:cs="Calibri"/>
                <w:color w:val="000000" w:themeColor="text1"/>
                <w:sz w:val="20"/>
                <w:szCs w:val="20"/>
              </w:rPr>
            </w:pPr>
          </w:p>
          <w:p w14:paraId="60944485" w14:textId="6A3EFA9D" w:rsidR="00743CEA" w:rsidRDefault="5E496199" w:rsidP="00171FF2">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The schools SLT, led by the Headteacher, will complete a </w:t>
            </w:r>
            <w:r w:rsidRPr="00DF52C0">
              <w:rPr>
                <w:rFonts w:ascii="Calibri" w:eastAsia="Calibri" w:hAnsi="Calibri" w:cs="Calibri"/>
                <w:b/>
                <w:bCs/>
                <w:color w:val="000000" w:themeColor="text1"/>
                <w:sz w:val="20"/>
                <w:szCs w:val="20"/>
              </w:rPr>
              <w:t>Referral and Admission Record</w:t>
            </w:r>
            <w:r w:rsidRPr="2B96F21C">
              <w:rPr>
                <w:rFonts w:ascii="Calibri" w:eastAsia="Calibri" w:hAnsi="Calibri" w:cs="Calibri"/>
                <w:color w:val="000000" w:themeColor="text1"/>
                <w:sz w:val="20"/>
                <w:szCs w:val="20"/>
              </w:rPr>
              <w:t xml:space="preserve"> to indicate whether needs could potentially be met at the school and the assessment process can be initiated. This discussion is held every </w:t>
            </w:r>
            <w:r w:rsidR="00237F72">
              <w:rPr>
                <w:rFonts w:ascii="Calibri" w:eastAsia="Calibri" w:hAnsi="Calibri" w:cs="Calibri"/>
                <w:color w:val="000000" w:themeColor="text1"/>
                <w:sz w:val="20"/>
                <w:szCs w:val="20"/>
              </w:rPr>
              <w:t>Monday</w:t>
            </w:r>
            <w:r w:rsidRPr="2B96F21C">
              <w:rPr>
                <w:rFonts w:ascii="Calibri" w:eastAsia="Calibri" w:hAnsi="Calibri" w:cs="Calibri"/>
                <w:color w:val="000000" w:themeColor="text1"/>
                <w:sz w:val="20"/>
                <w:szCs w:val="20"/>
              </w:rPr>
              <w:t xml:space="preserve"> </w:t>
            </w:r>
            <w:r w:rsidR="00237F72">
              <w:rPr>
                <w:rFonts w:ascii="Calibri" w:eastAsia="Calibri" w:hAnsi="Calibri" w:cs="Calibri"/>
                <w:color w:val="000000" w:themeColor="text1"/>
                <w:sz w:val="20"/>
                <w:szCs w:val="20"/>
              </w:rPr>
              <w:t>afternoon</w:t>
            </w:r>
            <w:r w:rsidRPr="2B96F21C">
              <w:rPr>
                <w:rFonts w:ascii="Calibri" w:eastAsia="Calibri" w:hAnsi="Calibri" w:cs="Calibri"/>
                <w:color w:val="000000" w:themeColor="text1"/>
                <w:sz w:val="20"/>
                <w:szCs w:val="20"/>
              </w:rPr>
              <w:t xml:space="preserve"> with the Referrals co-ordinator</w:t>
            </w:r>
            <w:r w:rsidR="00237F72">
              <w:rPr>
                <w:rFonts w:ascii="Calibri" w:eastAsia="Calibri" w:hAnsi="Calibri" w:cs="Calibri"/>
                <w:color w:val="000000" w:themeColor="text1"/>
                <w:sz w:val="20"/>
                <w:szCs w:val="20"/>
              </w:rPr>
              <w:t xml:space="preserve"> and</w:t>
            </w:r>
            <w:r w:rsidRPr="2B96F21C">
              <w:rPr>
                <w:rFonts w:ascii="Calibri" w:eastAsia="Calibri" w:hAnsi="Calibri" w:cs="Calibri"/>
                <w:color w:val="000000" w:themeColor="text1"/>
                <w:sz w:val="20"/>
                <w:szCs w:val="20"/>
              </w:rPr>
              <w:t xml:space="preserve"> Head </w:t>
            </w:r>
            <w:r w:rsidR="00237F72" w:rsidRPr="2B96F21C">
              <w:rPr>
                <w:rFonts w:ascii="Calibri" w:eastAsia="Calibri" w:hAnsi="Calibri" w:cs="Calibri"/>
                <w:color w:val="000000" w:themeColor="text1"/>
                <w:sz w:val="20"/>
                <w:szCs w:val="20"/>
              </w:rPr>
              <w:t>Teacher,</w:t>
            </w:r>
            <w:r w:rsidRPr="2B96F21C">
              <w:rPr>
                <w:rFonts w:ascii="Calibri" w:eastAsia="Calibri" w:hAnsi="Calibri" w:cs="Calibri"/>
                <w:color w:val="000000" w:themeColor="text1"/>
                <w:sz w:val="20"/>
                <w:szCs w:val="20"/>
              </w:rPr>
              <w:t xml:space="preserve"> and a decision will be made to proceed to assessment 1 stage. </w:t>
            </w:r>
          </w:p>
          <w:p w14:paraId="3CF56B46" w14:textId="6ADA1958" w:rsidR="00743CEA" w:rsidRDefault="00743CEA" w:rsidP="2B96F21C">
            <w:pPr>
              <w:rPr>
                <w:rFonts w:ascii="Calibri" w:eastAsia="Calibri" w:hAnsi="Calibri" w:cs="Calibri"/>
                <w:color w:val="000000" w:themeColor="text1"/>
                <w:sz w:val="20"/>
                <w:szCs w:val="20"/>
              </w:rPr>
            </w:pPr>
          </w:p>
          <w:p w14:paraId="6CEECCF8" w14:textId="7424D334" w:rsidR="00743CEA" w:rsidRDefault="5E496199" w:rsidP="00237F72">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The schools Referral co-ordinator will create a Referral and Admission Record for each referral that meets the criteria for assessment. This will be completed for each subsequent stage of the assessment and will either be at the point of: Decline, Place Offered. </w:t>
            </w:r>
          </w:p>
          <w:p w14:paraId="42423765" w14:textId="1166B5A8" w:rsidR="00743CEA" w:rsidRDefault="00743CEA" w:rsidP="2B96F21C">
            <w:pPr>
              <w:rPr>
                <w:rFonts w:ascii="Calibri" w:eastAsia="Calibri" w:hAnsi="Calibri" w:cs="Calibri"/>
                <w:color w:val="000000" w:themeColor="text1"/>
                <w:sz w:val="20"/>
                <w:szCs w:val="20"/>
              </w:rPr>
            </w:pPr>
          </w:p>
          <w:p w14:paraId="5D01E028" w14:textId="28BF353C" w:rsidR="00743CEA" w:rsidRDefault="5E496199" w:rsidP="2B96F21C">
            <w:pPr>
              <w:jc w:val="both"/>
              <w:rPr>
                <w:rFonts w:ascii="Calibri" w:eastAsia="Calibri" w:hAnsi="Calibri" w:cs="Calibri"/>
                <w:color w:val="000000" w:themeColor="text1"/>
                <w:sz w:val="20"/>
                <w:szCs w:val="20"/>
              </w:rPr>
            </w:pPr>
            <w:r w:rsidRPr="2B96F21C">
              <w:rPr>
                <w:rFonts w:ascii="Calibri" w:eastAsia="Calibri" w:hAnsi="Calibri" w:cs="Calibri"/>
                <w:b/>
                <w:bCs/>
                <w:color w:val="000000" w:themeColor="text1"/>
                <w:sz w:val="20"/>
                <w:szCs w:val="20"/>
              </w:rPr>
              <w:t>Paperwork Review</w:t>
            </w:r>
            <w:r w:rsidRPr="2B96F21C">
              <w:rPr>
                <w:rFonts w:ascii="Calibri" w:eastAsia="Calibri" w:hAnsi="Calibri" w:cs="Calibri"/>
                <w:color w:val="000000" w:themeColor="text1"/>
                <w:sz w:val="20"/>
                <w:szCs w:val="20"/>
              </w:rPr>
              <w:t xml:space="preserve"> – This is the initial decision to agree to further assessment from review of documentation as indicated in the Referral and Admission Record. If this decision is made, the Site Referrals Coordinator will request/ensure the presence of: EHCP, Ed. Psych Reports, OT Reports, SALT Reports, KS1/KS2 and current Data, Feedback/Contact details for previous educational establishment. This documentation should be requested within 48hrs of the decision being made at pre-screening for the assessment process to continue. This documentation (where it exists) needs to be received before a final decision on placement can be made.  </w:t>
            </w:r>
          </w:p>
          <w:p w14:paraId="6A512B17" w14:textId="20634877" w:rsidR="00743CEA" w:rsidRDefault="00743CEA" w:rsidP="2B96F21C">
            <w:pPr>
              <w:jc w:val="both"/>
              <w:rPr>
                <w:rFonts w:ascii="Calibri" w:eastAsia="Calibri" w:hAnsi="Calibri" w:cs="Calibri"/>
                <w:color w:val="000000" w:themeColor="text1"/>
                <w:sz w:val="20"/>
                <w:szCs w:val="20"/>
              </w:rPr>
            </w:pPr>
          </w:p>
          <w:p w14:paraId="0E07D76F" w14:textId="441168E2" w:rsidR="00743CEA" w:rsidRDefault="5E496199" w:rsidP="2B96F21C">
            <w:pPr>
              <w:jc w:val="both"/>
              <w:rPr>
                <w:rFonts w:ascii="Calibri" w:eastAsia="Calibri" w:hAnsi="Calibri" w:cs="Calibri"/>
                <w:color w:val="000000" w:themeColor="text1"/>
                <w:sz w:val="20"/>
                <w:szCs w:val="20"/>
              </w:rPr>
            </w:pPr>
            <w:r w:rsidRPr="2B96F21C">
              <w:rPr>
                <w:rFonts w:ascii="Calibri" w:eastAsia="Calibri" w:hAnsi="Calibri" w:cs="Calibri"/>
                <w:b/>
                <w:bCs/>
                <w:color w:val="000000" w:themeColor="text1"/>
                <w:sz w:val="20"/>
                <w:szCs w:val="20"/>
              </w:rPr>
              <w:t>Assessment</w:t>
            </w:r>
            <w:r w:rsidR="0030065E">
              <w:rPr>
                <w:rFonts w:ascii="Calibri" w:eastAsia="Calibri" w:hAnsi="Calibri" w:cs="Calibri"/>
                <w:b/>
                <w:bCs/>
                <w:color w:val="000000" w:themeColor="text1"/>
                <w:sz w:val="20"/>
                <w:szCs w:val="20"/>
              </w:rPr>
              <w:t xml:space="preserve"> - </w:t>
            </w:r>
            <w:r w:rsidRPr="2B96F21C">
              <w:rPr>
                <w:rFonts w:ascii="Calibri" w:eastAsia="Calibri" w:hAnsi="Calibri" w:cs="Calibri"/>
                <w:color w:val="000000" w:themeColor="text1"/>
                <w:sz w:val="20"/>
                <w:szCs w:val="20"/>
              </w:rPr>
              <w:t xml:space="preserve">Internal Visit - Pupil to visit the site supported by staff and parents. The Referral and Admission Record clearly sets out specific observations and lines of questioning for the assessor of each visit to consider as part of the assessment. This will form part of the decision-making process. The assessor will complete this section of the young person’s Referral and Admission Record and will discuss the assessment visit with the rest of the schools SLT to decide on whether a place should be offered. </w:t>
            </w:r>
          </w:p>
          <w:p w14:paraId="0275ECD5" w14:textId="2BCC3243" w:rsidR="00743CEA" w:rsidRDefault="00743CEA" w:rsidP="2B96F21C">
            <w:pPr>
              <w:jc w:val="both"/>
              <w:rPr>
                <w:rFonts w:ascii="Calibri" w:eastAsia="Calibri" w:hAnsi="Calibri" w:cs="Calibri"/>
                <w:color w:val="000000" w:themeColor="text1"/>
                <w:sz w:val="20"/>
                <w:szCs w:val="20"/>
              </w:rPr>
            </w:pPr>
          </w:p>
          <w:p w14:paraId="660C501E" w14:textId="681C1E73" w:rsidR="00743CEA" w:rsidRDefault="5E496199" w:rsidP="2B96F21C">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Any Offer of placement will expire 4 weeks from date of offer.</w:t>
            </w:r>
          </w:p>
          <w:p w14:paraId="230E7946" w14:textId="681E71EE" w:rsidR="00743CEA" w:rsidRDefault="00743CEA" w:rsidP="2B96F21C">
            <w:pPr>
              <w:jc w:val="both"/>
              <w:rPr>
                <w:rFonts w:ascii="Calibri" w:eastAsia="Calibri" w:hAnsi="Calibri" w:cs="Calibri"/>
                <w:color w:val="000000" w:themeColor="text1"/>
                <w:sz w:val="20"/>
                <w:szCs w:val="20"/>
              </w:rPr>
            </w:pPr>
          </w:p>
          <w:p w14:paraId="5A422D80" w14:textId="6EBD64BB"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b/>
                <w:bCs/>
                <w:color w:val="000000" w:themeColor="text1"/>
                <w:sz w:val="20"/>
                <w:szCs w:val="20"/>
              </w:rPr>
              <w:t xml:space="preserve">Tribunal </w:t>
            </w:r>
            <w:r w:rsidRPr="2B96F21C">
              <w:rPr>
                <w:rFonts w:ascii="Calibri" w:eastAsia="Calibri" w:hAnsi="Calibri" w:cs="Calibri"/>
                <w:color w:val="000000" w:themeColor="text1"/>
                <w:sz w:val="20"/>
                <w:szCs w:val="20"/>
              </w:rPr>
              <w:t>- Some places require evidence to be given at an Educational Tribunal Court. This evidence will be presented by the assessor leading the case and attendance can only occur during term time and with a suitable amount of notice being given. Requests must be made by legal teams by email and a full court bundle sent to the assessor at least 2 weeks prior to the Tribunal court occurring.</w:t>
            </w:r>
          </w:p>
          <w:p w14:paraId="7D544A02" w14:textId="77777777" w:rsidR="007F4C58" w:rsidRDefault="007F4C58" w:rsidP="007F4C58">
            <w:pPr>
              <w:jc w:val="both"/>
            </w:pPr>
          </w:p>
          <w:p w14:paraId="34E7C392" w14:textId="7E9EFEAD"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b/>
                <w:bCs/>
                <w:color w:val="000000" w:themeColor="text1"/>
                <w:sz w:val="20"/>
                <w:szCs w:val="20"/>
              </w:rPr>
              <w:t>Unsuccessful referrals</w:t>
            </w:r>
            <w:r w:rsidRPr="2B96F21C">
              <w:rPr>
                <w:rFonts w:ascii="Calibri" w:eastAsia="Calibri" w:hAnsi="Calibri" w:cs="Calibri"/>
                <w:b/>
                <w:bCs/>
                <w:color w:val="000000" w:themeColor="text1"/>
              </w:rPr>
              <w:t xml:space="preserve"> - </w:t>
            </w:r>
            <w:r w:rsidRPr="2B96F21C">
              <w:rPr>
                <w:rFonts w:ascii="Calibri" w:eastAsia="Calibri" w:hAnsi="Calibri" w:cs="Calibri"/>
                <w:color w:val="000000" w:themeColor="text1"/>
                <w:sz w:val="20"/>
                <w:szCs w:val="20"/>
              </w:rPr>
              <w:t>An audit trail will be maintained by the Referrals Coordinator of all unsuccessful referrals. Details of this log will include service user’s demographic details and reason for not admitting to our services.</w:t>
            </w:r>
          </w:p>
          <w:p w14:paraId="029C682E" w14:textId="2CA3A1BB" w:rsidR="00743CEA" w:rsidRDefault="00743CEA" w:rsidP="2B96F21C">
            <w:pPr>
              <w:rPr>
                <w:rFonts w:ascii="Calibri" w:eastAsia="Calibri" w:hAnsi="Calibri" w:cs="Calibri"/>
                <w:color w:val="000000" w:themeColor="text1"/>
                <w:sz w:val="20"/>
                <w:szCs w:val="20"/>
              </w:rPr>
            </w:pPr>
          </w:p>
          <w:p w14:paraId="6F2F9444" w14:textId="278BF105"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The </w:t>
            </w:r>
            <w:r w:rsidRPr="2B96F21C">
              <w:rPr>
                <w:rFonts w:ascii="Calibri" w:eastAsia="Calibri" w:hAnsi="Calibri" w:cs="Calibri"/>
                <w:b/>
                <w:bCs/>
                <w:color w:val="000000" w:themeColor="text1"/>
                <w:sz w:val="20"/>
                <w:szCs w:val="20"/>
              </w:rPr>
              <w:t>Referral and Admission Record</w:t>
            </w:r>
            <w:r w:rsidRPr="2B96F21C">
              <w:rPr>
                <w:rFonts w:ascii="Calibri" w:eastAsia="Calibri" w:hAnsi="Calibri" w:cs="Calibri"/>
                <w:color w:val="000000" w:themeColor="text1"/>
                <w:sz w:val="20"/>
                <w:szCs w:val="20"/>
              </w:rPr>
              <w:t xml:space="preserve"> will provide the Referrals Coordinator with more detailed information from the schools SLT as to why placement was not offered. </w:t>
            </w:r>
          </w:p>
          <w:p w14:paraId="36A8A780" w14:textId="67A2B968" w:rsidR="00743CEA" w:rsidRDefault="00743CEA" w:rsidP="2B96F21C">
            <w:pPr>
              <w:rPr>
                <w:rFonts w:ascii="Calibri" w:eastAsia="Calibri" w:hAnsi="Calibri" w:cs="Calibri"/>
                <w:color w:val="000000" w:themeColor="text1"/>
                <w:sz w:val="20"/>
                <w:szCs w:val="20"/>
              </w:rPr>
            </w:pPr>
          </w:p>
          <w:p w14:paraId="37D86CCE" w14:textId="0303A25B"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Ultimately, our intention and moral imperative is to ensure that young people are placed in a provision that best meets their needs.</w:t>
            </w:r>
          </w:p>
        </w:tc>
      </w:tr>
      <w:tr w:rsidR="00743CEA" w14:paraId="40C40953" w14:textId="77777777" w:rsidTr="007F4C58">
        <w:trPr>
          <w:trHeight w:val="300"/>
        </w:trPr>
        <w:tc>
          <w:tcPr>
            <w:tcW w:w="9016" w:type="dxa"/>
            <w:hideMark/>
          </w:tcPr>
          <w:p w14:paraId="29947E75" w14:textId="17E3EFDA" w:rsidR="00743CEA" w:rsidRDefault="5E496199" w:rsidP="2B96F21C">
            <w:pPr>
              <w:pStyle w:val="ListParagraph"/>
              <w:numPr>
                <w:ilvl w:val="0"/>
                <w:numId w:val="1"/>
              </w:numPr>
            </w:pPr>
            <w:r w:rsidRPr="2B96F21C">
              <w:rPr>
                <w:rFonts w:ascii="Calibri" w:eastAsia="Calibri" w:hAnsi="Calibri" w:cs="Calibri"/>
                <w:b/>
                <w:bCs/>
                <w:color w:val="000000" w:themeColor="text1"/>
                <w:sz w:val="19"/>
                <w:szCs w:val="19"/>
              </w:rPr>
              <w:t>Responsibilities</w:t>
            </w:r>
          </w:p>
        </w:tc>
      </w:tr>
      <w:tr w:rsidR="00743CEA" w14:paraId="64A5115F" w14:textId="77777777" w:rsidTr="007F4C58">
        <w:tc>
          <w:tcPr>
            <w:tcW w:w="9016" w:type="dxa"/>
          </w:tcPr>
          <w:p w14:paraId="5CB33A1B" w14:textId="2BB3FA9A" w:rsidR="00AA6B64" w:rsidRDefault="5E496199" w:rsidP="007F4C58">
            <w:pPr>
              <w:jc w:val="both"/>
              <w:rPr>
                <w:rFonts w:ascii="Calibri" w:eastAsia="Calibri" w:hAnsi="Calibri" w:cs="Calibri"/>
                <w:color w:val="000000" w:themeColor="text1"/>
                <w:sz w:val="20"/>
                <w:szCs w:val="20"/>
              </w:rPr>
            </w:pPr>
            <w:r w:rsidRPr="5EFFD407">
              <w:rPr>
                <w:rFonts w:ascii="Calibri" w:eastAsia="Calibri" w:hAnsi="Calibri" w:cs="Calibri"/>
                <w:color w:val="000000" w:themeColor="text1"/>
                <w:sz w:val="20"/>
                <w:szCs w:val="20"/>
              </w:rPr>
              <w:t>The</w:t>
            </w:r>
            <w:r w:rsidR="6ECAB8B2" w:rsidRPr="5EFFD407">
              <w:rPr>
                <w:rFonts w:ascii="Calibri" w:eastAsia="Calibri" w:hAnsi="Calibri" w:cs="Calibri"/>
                <w:color w:val="000000" w:themeColor="text1"/>
                <w:sz w:val="20"/>
                <w:szCs w:val="20"/>
              </w:rPr>
              <w:t xml:space="preserve"> Head</w:t>
            </w:r>
            <w:r w:rsidR="00FC192F">
              <w:rPr>
                <w:rFonts w:ascii="Calibri" w:eastAsia="Calibri" w:hAnsi="Calibri" w:cs="Calibri"/>
                <w:color w:val="000000" w:themeColor="text1"/>
                <w:sz w:val="20"/>
                <w:szCs w:val="20"/>
              </w:rPr>
              <w:t>t</w:t>
            </w:r>
            <w:r w:rsidR="6ECAB8B2" w:rsidRPr="5EFFD407">
              <w:rPr>
                <w:rFonts w:ascii="Calibri" w:eastAsia="Calibri" w:hAnsi="Calibri" w:cs="Calibri"/>
                <w:color w:val="000000" w:themeColor="text1"/>
                <w:sz w:val="20"/>
                <w:szCs w:val="20"/>
              </w:rPr>
              <w:t>eacher</w:t>
            </w:r>
            <w:r w:rsidRPr="5EFFD407">
              <w:rPr>
                <w:rFonts w:ascii="Calibri" w:eastAsia="Calibri" w:hAnsi="Calibri" w:cs="Calibri"/>
                <w:color w:val="000000" w:themeColor="text1"/>
                <w:sz w:val="20"/>
                <w:szCs w:val="20"/>
              </w:rPr>
              <w:t xml:space="preserve"> is responsible for ensuring that there is sufficient information provided by the placing authority before or at the point of admission to ensure a safe and effective admission. </w:t>
            </w:r>
          </w:p>
          <w:p w14:paraId="54751A18" w14:textId="5BBA55E9" w:rsidR="00AA6B64" w:rsidRPr="00AA6B64" w:rsidRDefault="00AA6B64" w:rsidP="007F4C58">
            <w:pPr>
              <w:jc w:val="both"/>
              <w:rPr>
                <w:rFonts w:eastAsia="Calibri" w:cstheme="minorHAnsi"/>
                <w:color w:val="000000" w:themeColor="text1"/>
                <w:sz w:val="20"/>
                <w:szCs w:val="20"/>
              </w:rPr>
            </w:pPr>
            <w:r w:rsidRPr="00AA6B64">
              <w:rPr>
                <w:rFonts w:cstheme="minorHAnsi"/>
                <w:color w:val="000000"/>
                <w:sz w:val="20"/>
                <w:szCs w:val="20"/>
              </w:rPr>
              <w:t xml:space="preserve">This must be evidenced using </w:t>
            </w:r>
            <w:r w:rsidRPr="00AA6B64">
              <w:rPr>
                <w:rFonts w:cstheme="minorHAnsi"/>
                <w:b/>
                <w:color w:val="000000"/>
                <w:sz w:val="20"/>
                <w:szCs w:val="20"/>
              </w:rPr>
              <w:t>ACS Form: 11A</w:t>
            </w:r>
            <w:r w:rsidRPr="00AA6B64">
              <w:rPr>
                <w:rFonts w:cstheme="minorHAnsi"/>
                <w:color w:val="000000"/>
                <w:sz w:val="20"/>
                <w:szCs w:val="20"/>
              </w:rPr>
              <w:t xml:space="preserve">: Admissions information Checklist, which is signed off by the </w:t>
            </w:r>
            <w:r>
              <w:rPr>
                <w:rFonts w:cstheme="minorHAnsi"/>
                <w:color w:val="000000"/>
                <w:sz w:val="20"/>
                <w:szCs w:val="20"/>
              </w:rPr>
              <w:t>Head Teacher.</w:t>
            </w:r>
          </w:p>
          <w:p w14:paraId="3FFC1511" w14:textId="62C90296" w:rsidR="00743CEA" w:rsidRDefault="5E496199" w:rsidP="007F4C58">
            <w:pPr>
              <w:jc w:val="both"/>
              <w:rPr>
                <w:rFonts w:ascii="Calibri" w:eastAsia="Calibri" w:hAnsi="Calibri" w:cs="Calibri"/>
                <w:color w:val="000000" w:themeColor="text1"/>
                <w:sz w:val="20"/>
                <w:szCs w:val="20"/>
              </w:rPr>
            </w:pPr>
            <w:r w:rsidRPr="5EFFD407">
              <w:rPr>
                <w:rFonts w:ascii="Calibri" w:eastAsia="Calibri" w:hAnsi="Calibri" w:cs="Calibri"/>
                <w:color w:val="000000" w:themeColor="text1"/>
                <w:sz w:val="20"/>
                <w:szCs w:val="20"/>
              </w:rPr>
              <w:lastRenderedPageBreak/>
              <w:t>A written disclaimer is to be signed by a representative of the placing authority to confirm that all known relevant information has been shared with the provision accepting the admission (</w:t>
            </w:r>
            <w:r w:rsidRPr="5EFFD407">
              <w:rPr>
                <w:rFonts w:ascii="Calibri" w:eastAsia="Calibri" w:hAnsi="Calibri" w:cs="Calibri"/>
                <w:b/>
                <w:bCs/>
                <w:color w:val="000000" w:themeColor="text1"/>
                <w:sz w:val="20"/>
                <w:szCs w:val="20"/>
              </w:rPr>
              <w:t>ACS Form: 11B</w:t>
            </w:r>
            <w:r w:rsidRPr="5EFFD407">
              <w:rPr>
                <w:rFonts w:ascii="Calibri" w:eastAsia="Calibri" w:hAnsi="Calibri" w:cs="Calibri"/>
                <w:color w:val="000000" w:themeColor="text1"/>
                <w:sz w:val="20"/>
                <w:szCs w:val="20"/>
              </w:rPr>
              <w:t xml:space="preserve">). The Admissions team will send the form to the placing authority along with the </w:t>
            </w:r>
            <w:r w:rsidRPr="007F4C58">
              <w:rPr>
                <w:rFonts w:ascii="Calibri" w:eastAsia="Calibri" w:hAnsi="Calibri" w:cs="Calibri"/>
                <w:color w:val="000000" w:themeColor="text1"/>
                <w:sz w:val="20"/>
                <w:szCs w:val="20"/>
              </w:rPr>
              <w:t>IPA.</w:t>
            </w:r>
            <w:r w:rsidRPr="5EFFD407">
              <w:rPr>
                <w:rFonts w:ascii="Calibri" w:eastAsia="Calibri" w:hAnsi="Calibri" w:cs="Calibri"/>
                <w:color w:val="000000" w:themeColor="text1"/>
                <w:sz w:val="20"/>
                <w:szCs w:val="20"/>
              </w:rPr>
              <w:t xml:space="preserve"> </w:t>
            </w:r>
          </w:p>
          <w:p w14:paraId="6211594E" w14:textId="15A47427" w:rsidR="00743CEA" w:rsidRDefault="00743CEA" w:rsidP="2B96F21C">
            <w:pPr>
              <w:rPr>
                <w:rFonts w:ascii="Calibri" w:eastAsia="Calibri" w:hAnsi="Calibri" w:cs="Calibri"/>
                <w:color w:val="000000" w:themeColor="text1"/>
                <w:sz w:val="20"/>
                <w:szCs w:val="20"/>
              </w:rPr>
            </w:pPr>
          </w:p>
          <w:p w14:paraId="2D021253" w14:textId="463BAAD8"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Where there is a reasonable belief that insufficient or inaccurate admission has been supplied, an admission may be delayed in consultation with the Operations Director.</w:t>
            </w:r>
          </w:p>
          <w:p w14:paraId="4CA64348" w14:textId="41F5E4E5" w:rsidR="00743CEA" w:rsidRDefault="00743CEA" w:rsidP="2B96F21C">
            <w:pPr>
              <w:rPr>
                <w:rFonts w:ascii="Calibri" w:eastAsia="Calibri" w:hAnsi="Calibri" w:cs="Calibri"/>
                <w:color w:val="000000" w:themeColor="text1"/>
                <w:sz w:val="20"/>
                <w:szCs w:val="20"/>
              </w:rPr>
            </w:pPr>
          </w:p>
          <w:p w14:paraId="69B1391F" w14:textId="12D6FF44" w:rsidR="0009586D" w:rsidRDefault="00A22CAC" w:rsidP="007F4C58">
            <w:pPr>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Prior to admission </w:t>
            </w:r>
            <w:r w:rsidR="5E496199" w:rsidRPr="2B96F21C">
              <w:rPr>
                <w:rFonts w:ascii="Calibri" w:eastAsia="Calibri" w:hAnsi="Calibri" w:cs="Calibri"/>
                <w:color w:val="000000" w:themeColor="text1"/>
                <w:sz w:val="20"/>
                <w:szCs w:val="20"/>
              </w:rPr>
              <w:t xml:space="preserve">The </w:t>
            </w:r>
            <w:r w:rsidR="00666689">
              <w:rPr>
                <w:rFonts w:ascii="Calibri" w:eastAsia="Calibri" w:hAnsi="Calibri" w:cs="Calibri"/>
                <w:color w:val="000000" w:themeColor="text1"/>
                <w:sz w:val="20"/>
                <w:szCs w:val="20"/>
              </w:rPr>
              <w:t>Head</w:t>
            </w:r>
            <w:r w:rsidR="00FC192F">
              <w:rPr>
                <w:rFonts w:ascii="Calibri" w:eastAsia="Calibri" w:hAnsi="Calibri" w:cs="Calibri"/>
                <w:color w:val="000000" w:themeColor="text1"/>
                <w:sz w:val="20"/>
                <w:szCs w:val="20"/>
              </w:rPr>
              <w:t>t</w:t>
            </w:r>
            <w:r w:rsidR="00666689">
              <w:rPr>
                <w:rFonts w:ascii="Calibri" w:eastAsia="Calibri" w:hAnsi="Calibri" w:cs="Calibri"/>
                <w:color w:val="000000" w:themeColor="text1"/>
                <w:sz w:val="20"/>
                <w:szCs w:val="20"/>
              </w:rPr>
              <w:t>eacher</w:t>
            </w:r>
            <w:r w:rsidR="5E496199" w:rsidRPr="2B96F21C">
              <w:rPr>
                <w:rFonts w:ascii="Calibri" w:eastAsia="Calibri" w:hAnsi="Calibri" w:cs="Calibri"/>
                <w:color w:val="000000" w:themeColor="text1"/>
                <w:sz w:val="20"/>
                <w:szCs w:val="20"/>
              </w:rPr>
              <w:t xml:space="preserve"> </w:t>
            </w:r>
            <w:r w:rsidR="00B77A04">
              <w:rPr>
                <w:rFonts w:ascii="Calibri" w:eastAsia="Calibri" w:hAnsi="Calibri" w:cs="Calibri"/>
                <w:color w:val="000000" w:themeColor="text1"/>
                <w:sz w:val="20"/>
                <w:szCs w:val="20"/>
              </w:rPr>
              <w:t>must complete</w:t>
            </w:r>
            <w:r w:rsidR="5E496199" w:rsidRPr="2B96F21C">
              <w:rPr>
                <w:rFonts w:ascii="Calibri" w:eastAsia="Calibri" w:hAnsi="Calibri" w:cs="Calibri"/>
                <w:color w:val="000000" w:themeColor="text1"/>
                <w:sz w:val="20"/>
                <w:szCs w:val="20"/>
              </w:rPr>
              <w:t xml:space="preserve"> the Admissions Risk Assessment</w:t>
            </w:r>
            <w:r>
              <w:rPr>
                <w:rFonts w:ascii="Calibri" w:eastAsia="Calibri" w:hAnsi="Calibri" w:cs="Calibri"/>
                <w:color w:val="000000" w:themeColor="text1"/>
                <w:sz w:val="20"/>
                <w:szCs w:val="20"/>
              </w:rPr>
              <w:t xml:space="preserve"> </w:t>
            </w:r>
            <w:r w:rsidR="0022155B">
              <w:rPr>
                <w:rFonts w:ascii="Calibri" w:eastAsia="Calibri" w:hAnsi="Calibri" w:cs="Calibri"/>
                <w:color w:val="000000" w:themeColor="text1"/>
                <w:sz w:val="20"/>
                <w:szCs w:val="20"/>
              </w:rPr>
              <w:t>(</w:t>
            </w:r>
            <w:r w:rsidR="0022155B" w:rsidRPr="0022155B">
              <w:rPr>
                <w:rFonts w:cstheme="minorHAnsi"/>
                <w:b/>
                <w:color w:val="000000"/>
                <w:sz w:val="20"/>
                <w:szCs w:val="20"/>
              </w:rPr>
              <w:t>ACS Form: 13A</w:t>
            </w:r>
            <w:r w:rsidR="0022155B">
              <w:rPr>
                <w:rFonts w:cstheme="minorHAnsi"/>
                <w:b/>
                <w:color w:val="000000"/>
                <w:sz w:val="20"/>
                <w:szCs w:val="20"/>
              </w:rPr>
              <w:t>)</w:t>
            </w:r>
            <w:r w:rsidR="0009586D">
              <w:rPr>
                <w:rFonts w:cstheme="minorHAnsi"/>
                <w:b/>
                <w:color w:val="000000"/>
                <w:sz w:val="20"/>
                <w:szCs w:val="20"/>
              </w:rPr>
              <w:t xml:space="preserve">. </w:t>
            </w:r>
            <w:r w:rsidR="00B0586C" w:rsidRPr="00B0586C">
              <w:rPr>
                <w:rFonts w:cstheme="minorHAnsi"/>
                <w:color w:val="000000"/>
                <w:sz w:val="20"/>
                <w:szCs w:val="20"/>
              </w:rPr>
              <w:t xml:space="preserve">Where the Admissions Impact Risk Assessment identifies actions required to ensure safe admission these </w:t>
            </w:r>
            <w:r w:rsidR="00B0586C" w:rsidRPr="00B0586C">
              <w:rPr>
                <w:rFonts w:cstheme="minorHAnsi"/>
                <w:b/>
                <w:color w:val="000000"/>
                <w:sz w:val="20"/>
                <w:szCs w:val="20"/>
              </w:rPr>
              <w:t>must be completed prior to the admission taking place.</w:t>
            </w:r>
            <w:r w:rsidR="5E496199" w:rsidRPr="2B96F21C">
              <w:rPr>
                <w:rFonts w:ascii="Calibri" w:eastAsia="Calibri" w:hAnsi="Calibri" w:cs="Calibri"/>
                <w:color w:val="000000" w:themeColor="text1"/>
                <w:sz w:val="20"/>
                <w:szCs w:val="20"/>
              </w:rPr>
              <w:t xml:space="preserve"> </w:t>
            </w:r>
          </w:p>
          <w:p w14:paraId="65A88249" w14:textId="77777777" w:rsidR="0009586D" w:rsidRDefault="0009586D" w:rsidP="2B96F21C">
            <w:pPr>
              <w:rPr>
                <w:rFonts w:ascii="Calibri" w:eastAsia="Calibri" w:hAnsi="Calibri" w:cs="Calibri"/>
                <w:color w:val="000000" w:themeColor="text1"/>
                <w:sz w:val="20"/>
                <w:szCs w:val="20"/>
              </w:rPr>
            </w:pPr>
          </w:p>
          <w:p w14:paraId="126EC97D" w14:textId="25C2D746" w:rsidR="00743CEA" w:rsidRPr="007F4C58" w:rsidRDefault="00FC192F" w:rsidP="007F4C58">
            <w:pPr>
              <w:jc w:val="both"/>
              <w:rPr>
                <w:rFonts w:eastAsia="Calibri" w:cstheme="minorHAnsi"/>
                <w:color w:val="000000" w:themeColor="text1"/>
                <w:sz w:val="20"/>
                <w:szCs w:val="20"/>
              </w:rPr>
            </w:pPr>
            <w:r w:rsidRPr="00A92135">
              <w:rPr>
                <w:rFonts w:cstheme="minorHAnsi"/>
                <w:color w:val="000000"/>
                <w:sz w:val="20"/>
                <w:szCs w:val="20"/>
              </w:rPr>
              <w:t>The Headteacher is responsible also for checking the Admissions Impact Risk Assessment</w:t>
            </w:r>
            <w:r w:rsidR="00597C23">
              <w:rPr>
                <w:rFonts w:cstheme="minorHAnsi"/>
                <w:color w:val="000000"/>
                <w:sz w:val="20"/>
                <w:szCs w:val="20"/>
              </w:rPr>
              <w:t xml:space="preserve">, </w:t>
            </w:r>
            <w:r w:rsidRPr="00A92135">
              <w:rPr>
                <w:rFonts w:cstheme="minorHAnsi"/>
                <w:color w:val="000000"/>
                <w:sz w:val="20"/>
                <w:szCs w:val="20"/>
              </w:rPr>
              <w:t>Pen Portrait</w:t>
            </w:r>
            <w:r w:rsidR="00C126E7">
              <w:rPr>
                <w:rFonts w:cstheme="minorHAnsi"/>
                <w:color w:val="000000"/>
                <w:sz w:val="20"/>
                <w:szCs w:val="20"/>
              </w:rPr>
              <w:t xml:space="preserve"> </w:t>
            </w:r>
            <w:r w:rsidR="00C126E7" w:rsidRPr="2B96F21C">
              <w:rPr>
                <w:rFonts w:ascii="Calibri" w:eastAsia="Calibri" w:hAnsi="Calibri" w:cs="Calibri"/>
                <w:color w:val="000000" w:themeColor="text1"/>
                <w:sz w:val="20"/>
                <w:szCs w:val="20"/>
              </w:rPr>
              <w:t>(</w:t>
            </w:r>
            <w:r w:rsidR="00C126E7" w:rsidRPr="2B96F21C">
              <w:rPr>
                <w:rFonts w:ascii="Calibri" w:eastAsia="Calibri" w:hAnsi="Calibri" w:cs="Calibri"/>
                <w:b/>
                <w:bCs/>
                <w:color w:val="000000" w:themeColor="text1"/>
                <w:sz w:val="20"/>
                <w:szCs w:val="20"/>
              </w:rPr>
              <w:t>ACS Form: 11C</w:t>
            </w:r>
            <w:r w:rsidR="00C126E7" w:rsidRPr="2B96F21C">
              <w:rPr>
                <w:rFonts w:ascii="Calibri" w:eastAsia="Calibri" w:hAnsi="Calibri" w:cs="Calibri"/>
                <w:color w:val="000000" w:themeColor="text1"/>
                <w:sz w:val="20"/>
                <w:szCs w:val="20"/>
              </w:rPr>
              <w:t>)</w:t>
            </w:r>
            <w:r w:rsidR="00C126E7">
              <w:rPr>
                <w:rFonts w:ascii="Calibri" w:eastAsia="Calibri" w:hAnsi="Calibri" w:cs="Calibri"/>
                <w:color w:val="000000" w:themeColor="text1"/>
                <w:sz w:val="20"/>
                <w:szCs w:val="20"/>
              </w:rPr>
              <w:t xml:space="preserve"> </w:t>
            </w:r>
            <w:r w:rsidRPr="00A92135">
              <w:rPr>
                <w:rFonts w:cstheme="minorHAnsi"/>
                <w:color w:val="000000"/>
                <w:sz w:val="20"/>
                <w:szCs w:val="20"/>
              </w:rPr>
              <w:t>and Admissions support needs profile of the new admission against the Service Location Risk Assessment (</w:t>
            </w:r>
            <w:r w:rsidRPr="00A92135">
              <w:rPr>
                <w:rFonts w:cstheme="minorHAnsi"/>
                <w:b/>
                <w:color w:val="000000"/>
                <w:sz w:val="20"/>
                <w:szCs w:val="20"/>
              </w:rPr>
              <w:t>ACS Form 13D)</w:t>
            </w:r>
            <w:r w:rsidRPr="00A92135">
              <w:rPr>
                <w:rFonts w:cstheme="minorHAnsi"/>
                <w:color w:val="000000"/>
                <w:sz w:val="20"/>
                <w:szCs w:val="20"/>
              </w:rPr>
              <w:t xml:space="preserve"> to ensure the </w:t>
            </w:r>
            <w:r w:rsidRPr="00A92135">
              <w:rPr>
                <w:rFonts w:cstheme="minorHAnsi"/>
                <w:b/>
                <w:color w:val="000000"/>
                <w:sz w:val="20"/>
                <w:szCs w:val="20"/>
              </w:rPr>
              <w:t>compatibility of the placement with the locality</w:t>
            </w:r>
            <w:r w:rsidRPr="00A92135">
              <w:rPr>
                <w:rFonts w:cstheme="minorHAnsi"/>
                <w:color w:val="000000"/>
                <w:sz w:val="20"/>
                <w:szCs w:val="20"/>
              </w:rPr>
              <w:t>, identifying mitigation actions to reduce risk, as necessary</w:t>
            </w:r>
            <w:r w:rsidR="007F4C58">
              <w:rPr>
                <w:rFonts w:cstheme="minorHAnsi"/>
                <w:color w:val="000000"/>
                <w:sz w:val="20"/>
                <w:szCs w:val="20"/>
              </w:rPr>
              <w:t xml:space="preserve"> </w:t>
            </w:r>
            <w:r w:rsidR="5E496199" w:rsidRPr="2B96F21C">
              <w:rPr>
                <w:rFonts w:ascii="Calibri" w:eastAsia="Calibri" w:hAnsi="Calibri" w:cs="Calibri"/>
                <w:color w:val="000000" w:themeColor="text1"/>
                <w:sz w:val="20"/>
                <w:szCs w:val="20"/>
              </w:rPr>
              <w:t>and Pen Portrait (</w:t>
            </w:r>
            <w:r w:rsidR="5E496199" w:rsidRPr="2B96F21C">
              <w:rPr>
                <w:rFonts w:ascii="Calibri" w:eastAsia="Calibri" w:hAnsi="Calibri" w:cs="Calibri"/>
                <w:b/>
                <w:bCs/>
                <w:color w:val="000000" w:themeColor="text1"/>
                <w:sz w:val="20"/>
                <w:szCs w:val="20"/>
              </w:rPr>
              <w:t>ACS Form: 11C</w:t>
            </w:r>
            <w:r w:rsidR="5E496199" w:rsidRPr="2B96F21C">
              <w:rPr>
                <w:rFonts w:ascii="Calibri" w:eastAsia="Calibri" w:hAnsi="Calibri" w:cs="Calibri"/>
                <w:color w:val="000000" w:themeColor="text1"/>
                <w:sz w:val="20"/>
                <w:szCs w:val="20"/>
              </w:rPr>
              <w:t>) and Admissions support needs profile of the new admission against the relevant Risk Assessments.</w:t>
            </w:r>
          </w:p>
          <w:p w14:paraId="39C2C1A0" w14:textId="05D4D32C" w:rsidR="00743CEA" w:rsidRDefault="00743CEA" w:rsidP="2B96F21C">
            <w:pPr>
              <w:rPr>
                <w:rFonts w:ascii="Calibri" w:eastAsia="Calibri" w:hAnsi="Calibri" w:cs="Calibri"/>
                <w:color w:val="000000" w:themeColor="text1"/>
                <w:sz w:val="20"/>
                <w:szCs w:val="20"/>
              </w:rPr>
            </w:pPr>
          </w:p>
          <w:p w14:paraId="0B1932ED" w14:textId="05F52B99" w:rsidR="00743CEA" w:rsidRDefault="5E496199" w:rsidP="2B96F21C">
            <w:pPr>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The admission team are responsible for liaising with the placing authority</w:t>
            </w:r>
          </w:p>
          <w:p w14:paraId="0EAD2B67" w14:textId="3535D967" w:rsidR="00743CEA" w:rsidRDefault="00743CEA" w:rsidP="2B96F21C">
            <w:pPr>
              <w:rPr>
                <w:rFonts w:ascii="Calibri" w:eastAsia="Calibri" w:hAnsi="Calibri" w:cs="Calibri"/>
                <w:color w:val="000000" w:themeColor="text1"/>
                <w:sz w:val="20"/>
                <w:szCs w:val="20"/>
              </w:rPr>
            </w:pPr>
          </w:p>
          <w:p w14:paraId="2F2A53AC" w14:textId="4EA7EFF7" w:rsidR="00743CEA" w:rsidRDefault="5E496199" w:rsidP="007F4C58">
            <w:pPr>
              <w:ind w:left="22" w:hanging="22"/>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The transitions lead is responsible for liaising with parents and recording information from them on forms</w:t>
            </w:r>
            <w:r w:rsidR="007F4C58">
              <w:rPr>
                <w:rFonts w:ascii="Calibri" w:eastAsia="Calibri" w:hAnsi="Calibri" w:cs="Calibri"/>
                <w:color w:val="000000" w:themeColor="text1"/>
                <w:sz w:val="20"/>
                <w:szCs w:val="20"/>
              </w:rPr>
              <w:t xml:space="preserve"> </w:t>
            </w:r>
            <w:r w:rsidRPr="2B96F21C">
              <w:rPr>
                <w:rFonts w:ascii="Calibri" w:eastAsia="Calibri" w:hAnsi="Calibri" w:cs="Calibri"/>
                <w:color w:val="000000" w:themeColor="text1"/>
                <w:sz w:val="20"/>
                <w:szCs w:val="20"/>
              </w:rPr>
              <w:t>A</w:t>
            </w:r>
            <w:r w:rsidRPr="2B96F21C">
              <w:rPr>
                <w:rFonts w:ascii="Calibri" w:eastAsia="Calibri" w:hAnsi="Calibri" w:cs="Calibri"/>
                <w:b/>
                <w:bCs/>
                <w:color w:val="000000" w:themeColor="text1"/>
                <w:sz w:val="20"/>
                <w:szCs w:val="20"/>
              </w:rPr>
              <w:t>CS Form 11C, ACS Form 11G, ACS Form 13B</w:t>
            </w:r>
          </w:p>
          <w:p w14:paraId="7D69F33B" w14:textId="638DA2A1" w:rsidR="00743CEA" w:rsidRDefault="00743CEA" w:rsidP="2B96F21C">
            <w:pPr>
              <w:pStyle w:val="ListParagraph"/>
              <w:ind w:left="0"/>
            </w:pPr>
          </w:p>
        </w:tc>
      </w:tr>
      <w:tr w:rsidR="00743CEA" w14:paraId="0F0B7AF4" w14:textId="77777777" w:rsidTr="007F4C58">
        <w:trPr>
          <w:trHeight w:val="300"/>
        </w:trPr>
        <w:tc>
          <w:tcPr>
            <w:tcW w:w="9016" w:type="dxa"/>
            <w:hideMark/>
          </w:tcPr>
          <w:p w14:paraId="2B985BEE" w14:textId="72777391" w:rsidR="00743CEA" w:rsidRDefault="5E496199" w:rsidP="2B96F21C">
            <w:pPr>
              <w:pStyle w:val="ListParagraph"/>
              <w:numPr>
                <w:ilvl w:val="0"/>
                <w:numId w:val="1"/>
              </w:numPr>
            </w:pPr>
            <w:r w:rsidRPr="2B96F21C">
              <w:rPr>
                <w:rFonts w:ascii="Calibri" w:eastAsia="Calibri" w:hAnsi="Calibri" w:cs="Calibri"/>
                <w:b/>
                <w:bCs/>
                <w:color w:val="000000" w:themeColor="text1"/>
                <w:sz w:val="19"/>
                <w:szCs w:val="19"/>
              </w:rPr>
              <w:lastRenderedPageBreak/>
              <w:t>Health &amp; Medical</w:t>
            </w:r>
          </w:p>
        </w:tc>
      </w:tr>
      <w:tr w:rsidR="00743CEA" w14:paraId="01107236" w14:textId="77777777" w:rsidTr="007F4C58">
        <w:tc>
          <w:tcPr>
            <w:tcW w:w="9016" w:type="dxa"/>
          </w:tcPr>
          <w:p w14:paraId="22B0C976" w14:textId="4CDD3CB3"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Medical information and details of General Practitioner are required at the time of admission. This is provided on the parent forms. If this is not available, admission may be delayed until this information is available </w:t>
            </w:r>
            <w:r w:rsidR="007B090E" w:rsidRPr="2B96F21C">
              <w:rPr>
                <w:rFonts w:ascii="Calibri" w:eastAsia="Calibri" w:hAnsi="Calibri" w:cs="Calibri"/>
                <w:color w:val="000000" w:themeColor="text1"/>
                <w:sz w:val="20"/>
                <w:szCs w:val="20"/>
              </w:rPr>
              <w:t>to</w:t>
            </w:r>
            <w:r w:rsidRPr="2B96F21C">
              <w:rPr>
                <w:rFonts w:ascii="Calibri" w:eastAsia="Calibri" w:hAnsi="Calibri" w:cs="Calibri"/>
                <w:color w:val="000000" w:themeColor="text1"/>
                <w:sz w:val="20"/>
                <w:szCs w:val="20"/>
              </w:rPr>
              <w:t xml:space="preserve"> ensure the safety and wellbeing of the child/young person.</w:t>
            </w:r>
          </w:p>
          <w:p w14:paraId="7BF0D82B" w14:textId="081982C0" w:rsidR="00743CEA" w:rsidRDefault="00743CEA" w:rsidP="2B96F21C">
            <w:pPr>
              <w:rPr>
                <w:rFonts w:ascii="Calibri" w:eastAsia="Calibri" w:hAnsi="Calibri" w:cs="Calibri"/>
                <w:color w:val="000000" w:themeColor="text1"/>
                <w:sz w:val="20"/>
                <w:szCs w:val="20"/>
              </w:rPr>
            </w:pPr>
          </w:p>
          <w:p w14:paraId="6E4B73E0" w14:textId="4D5982C1"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Where a child or young person has a specific medical condition for which colleagues will require additional training, skills, and knowledge </w:t>
            </w:r>
            <w:r w:rsidR="007B090E" w:rsidRPr="2B96F21C">
              <w:rPr>
                <w:rFonts w:ascii="Calibri" w:eastAsia="Calibri" w:hAnsi="Calibri" w:cs="Calibri"/>
                <w:color w:val="000000" w:themeColor="text1"/>
                <w:sz w:val="20"/>
                <w:szCs w:val="20"/>
              </w:rPr>
              <w:t>to</w:t>
            </w:r>
            <w:r w:rsidRPr="2B96F21C">
              <w:rPr>
                <w:rFonts w:ascii="Calibri" w:eastAsia="Calibri" w:hAnsi="Calibri" w:cs="Calibri"/>
                <w:color w:val="000000" w:themeColor="text1"/>
                <w:sz w:val="20"/>
                <w:szCs w:val="20"/>
              </w:rPr>
              <w:t xml:space="preserve"> safely care for the child or young person, this training </w:t>
            </w:r>
            <w:r w:rsidRPr="2B96F21C">
              <w:rPr>
                <w:rFonts w:ascii="Calibri" w:eastAsia="Calibri" w:hAnsi="Calibri" w:cs="Calibri"/>
                <w:b/>
                <w:bCs/>
                <w:color w:val="000000" w:themeColor="text1"/>
                <w:sz w:val="20"/>
                <w:szCs w:val="20"/>
              </w:rPr>
              <w:t>must be completed prior to the admission</w:t>
            </w:r>
            <w:r w:rsidRPr="2B96F21C">
              <w:rPr>
                <w:rFonts w:ascii="Calibri" w:eastAsia="Calibri" w:hAnsi="Calibri" w:cs="Calibri"/>
                <w:color w:val="000000" w:themeColor="text1"/>
                <w:sz w:val="20"/>
                <w:szCs w:val="20"/>
              </w:rPr>
              <w:t xml:space="preserve"> taking place.</w:t>
            </w:r>
          </w:p>
          <w:p w14:paraId="19B99EDE" w14:textId="77777777" w:rsidR="00743CEA" w:rsidRDefault="00743CEA" w:rsidP="000033B3">
            <w:pPr>
              <w:pStyle w:val="ListParagraph"/>
              <w:ind w:left="0"/>
            </w:pPr>
          </w:p>
        </w:tc>
      </w:tr>
      <w:tr w:rsidR="00743CEA" w14:paraId="0CC2EEB4" w14:textId="77777777" w:rsidTr="007F4C58">
        <w:trPr>
          <w:trHeight w:val="300"/>
        </w:trPr>
        <w:tc>
          <w:tcPr>
            <w:tcW w:w="9016" w:type="dxa"/>
            <w:hideMark/>
          </w:tcPr>
          <w:p w14:paraId="6EFA20A3" w14:textId="736F4229" w:rsidR="00743CEA" w:rsidRDefault="5E496199" w:rsidP="2B96F21C">
            <w:pPr>
              <w:pStyle w:val="ListParagraph"/>
              <w:numPr>
                <w:ilvl w:val="0"/>
                <w:numId w:val="1"/>
              </w:numPr>
            </w:pPr>
            <w:r w:rsidRPr="2B96F21C">
              <w:rPr>
                <w:rFonts w:ascii="Calibri" w:eastAsia="Calibri" w:hAnsi="Calibri" w:cs="Calibri"/>
                <w:b/>
                <w:bCs/>
                <w:color w:val="000000" w:themeColor="text1"/>
                <w:sz w:val="20"/>
                <w:szCs w:val="20"/>
              </w:rPr>
              <w:t>Admissions information</w:t>
            </w:r>
          </w:p>
        </w:tc>
      </w:tr>
      <w:tr w:rsidR="00743CEA" w14:paraId="0812C09D" w14:textId="77777777" w:rsidTr="007F4C58">
        <w:tc>
          <w:tcPr>
            <w:tcW w:w="9016" w:type="dxa"/>
          </w:tcPr>
          <w:p w14:paraId="4AEBE847" w14:textId="7BCF02A9"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Every admission must be recorded immediately in the </w:t>
            </w:r>
            <w:r w:rsidRPr="2B96F21C">
              <w:rPr>
                <w:rFonts w:ascii="Calibri" w:eastAsia="Calibri" w:hAnsi="Calibri" w:cs="Calibri"/>
                <w:b/>
                <w:bCs/>
                <w:color w:val="000000" w:themeColor="text1"/>
                <w:sz w:val="20"/>
                <w:szCs w:val="20"/>
              </w:rPr>
              <w:t>Admissions Register</w:t>
            </w:r>
            <w:r w:rsidRPr="2B96F21C">
              <w:rPr>
                <w:rFonts w:ascii="Calibri" w:eastAsia="Calibri" w:hAnsi="Calibri" w:cs="Calibri"/>
                <w:color w:val="000000" w:themeColor="text1"/>
                <w:sz w:val="20"/>
                <w:szCs w:val="20"/>
              </w:rPr>
              <w:t xml:space="preserve">. </w:t>
            </w:r>
          </w:p>
          <w:p w14:paraId="5AAF09AB" w14:textId="1C33A26B" w:rsidR="00743CEA" w:rsidRPr="007F4C58"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Every admission must also be added to all relevant </w:t>
            </w:r>
            <w:r w:rsidRPr="2B96F21C">
              <w:rPr>
                <w:rFonts w:ascii="Calibri" w:eastAsia="Calibri" w:hAnsi="Calibri" w:cs="Calibri"/>
                <w:b/>
                <w:bCs/>
                <w:color w:val="000000" w:themeColor="text1"/>
                <w:sz w:val="20"/>
                <w:szCs w:val="20"/>
              </w:rPr>
              <w:t>electronic recording systems</w:t>
            </w:r>
            <w:r w:rsidRPr="2B96F21C">
              <w:rPr>
                <w:rFonts w:ascii="Calibri" w:eastAsia="Calibri" w:hAnsi="Calibri" w:cs="Calibri"/>
                <w:color w:val="000000" w:themeColor="text1"/>
                <w:sz w:val="20"/>
                <w:szCs w:val="20"/>
              </w:rPr>
              <w:t xml:space="preserve"> which the service is routinely expected to use (companies MIS system)</w:t>
            </w:r>
          </w:p>
        </w:tc>
      </w:tr>
      <w:tr w:rsidR="00743CEA" w14:paraId="451F339E" w14:textId="77777777" w:rsidTr="007F4C58">
        <w:tc>
          <w:tcPr>
            <w:tcW w:w="9016" w:type="dxa"/>
            <w:hideMark/>
          </w:tcPr>
          <w:p w14:paraId="5273F231" w14:textId="374C75DB" w:rsidR="00743CEA" w:rsidRDefault="5E496199" w:rsidP="2B96F21C">
            <w:pPr>
              <w:pStyle w:val="ListParagraph"/>
              <w:numPr>
                <w:ilvl w:val="0"/>
                <w:numId w:val="1"/>
              </w:numPr>
            </w:pPr>
            <w:r w:rsidRPr="2B96F21C">
              <w:rPr>
                <w:rFonts w:ascii="Calibri" w:eastAsia="Calibri" w:hAnsi="Calibri" w:cs="Calibri"/>
                <w:b/>
                <w:bCs/>
                <w:color w:val="000000" w:themeColor="text1"/>
                <w:sz w:val="20"/>
                <w:szCs w:val="20"/>
              </w:rPr>
              <w:t>Readiness for admission</w:t>
            </w:r>
          </w:p>
        </w:tc>
      </w:tr>
      <w:tr w:rsidR="00743CEA" w14:paraId="14F126B1" w14:textId="77777777" w:rsidTr="007F4C58">
        <w:tc>
          <w:tcPr>
            <w:tcW w:w="9016" w:type="dxa"/>
          </w:tcPr>
          <w:p w14:paraId="3E09B1A7" w14:textId="4A38A056" w:rsidR="00743CEA" w:rsidRDefault="5E496199" w:rsidP="007F4C58">
            <w:pPr>
              <w:jc w:val="both"/>
            </w:pPr>
            <w:r w:rsidRPr="2B96F21C">
              <w:rPr>
                <w:rFonts w:ascii="Calibri" w:eastAsia="Calibri" w:hAnsi="Calibri" w:cs="Calibri"/>
                <w:color w:val="000000" w:themeColor="text1"/>
                <w:sz w:val="20"/>
                <w:szCs w:val="20"/>
              </w:rPr>
              <w:t xml:space="preserve">Before any admission takes place the Head teacher and their </w:t>
            </w:r>
            <w:r w:rsidR="75074788" w:rsidRPr="2B96F21C">
              <w:rPr>
                <w:rFonts w:ascii="Calibri" w:eastAsia="Calibri" w:hAnsi="Calibri" w:cs="Calibri"/>
                <w:color w:val="000000" w:themeColor="text1"/>
                <w:sz w:val="20"/>
                <w:szCs w:val="20"/>
              </w:rPr>
              <w:t>operations</w:t>
            </w:r>
            <w:r w:rsidRPr="2B96F21C">
              <w:rPr>
                <w:rFonts w:ascii="Calibri" w:eastAsia="Calibri" w:hAnsi="Calibri" w:cs="Calibri"/>
                <w:color w:val="000000" w:themeColor="text1"/>
                <w:sz w:val="20"/>
                <w:szCs w:val="20"/>
              </w:rPr>
              <w:t xml:space="preserve"> </w:t>
            </w:r>
            <w:r w:rsidR="1138DE03" w:rsidRPr="2B96F21C">
              <w:rPr>
                <w:rFonts w:ascii="Calibri" w:eastAsia="Calibri" w:hAnsi="Calibri" w:cs="Calibri"/>
                <w:color w:val="000000" w:themeColor="text1"/>
                <w:sz w:val="20"/>
                <w:szCs w:val="20"/>
              </w:rPr>
              <w:t>d</w:t>
            </w:r>
            <w:r w:rsidRPr="2B96F21C">
              <w:rPr>
                <w:rFonts w:ascii="Calibri" w:eastAsia="Calibri" w:hAnsi="Calibri" w:cs="Calibri"/>
                <w:color w:val="000000" w:themeColor="text1"/>
                <w:sz w:val="20"/>
                <w:szCs w:val="20"/>
              </w:rPr>
              <w:t xml:space="preserve">irector must complete </w:t>
            </w:r>
            <w:r w:rsidRPr="2B96F21C">
              <w:rPr>
                <w:rFonts w:ascii="Calibri" w:eastAsia="Calibri" w:hAnsi="Calibri" w:cs="Calibri"/>
                <w:b/>
                <w:bCs/>
                <w:color w:val="000000" w:themeColor="text1"/>
                <w:sz w:val="20"/>
                <w:szCs w:val="20"/>
              </w:rPr>
              <w:t>ACS Form 11H</w:t>
            </w:r>
            <w:r w:rsidRPr="2B96F21C">
              <w:rPr>
                <w:rFonts w:ascii="Calibri" w:eastAsia="Calibri" w:hAnsi="Calibri" w:cs="Calibri"/>
                <w:color w:val="000000" w:themeColor="text1"/>
                <w:sz w:val="20"/>
                <w:szCs w:val="20"/>
              </w:rPr>
              <w:t xml:space="preserve"> Authorisation for Admission. This confirms that all necessary documentation is complete, and that all required training has been fully completed, and that any required resources are in place prior to the admission taking place. Admissions </w:t>
            </w:r>
            <w:r w:rsidRPr="2B96F21C">
              <w:rPr>
                <w:rFonts w:ascii="Calibri" w:eastAsia="Calibri" w:hAnsi="Calibri" w:cs="Calibri"/>
                <w:b/>
                <w:bCs/>
                <w:color w:val="000000" w:themeColor="text1"/>
                <w:sz w:val="20"/>
                <w:szCs w:val="20"/>
              </w:rPr>
              <w:t>cannot</w:t>
            </w:r>
            <w:r w:rsidRPr="2B96F21C">
              <w:rPr>
                <w:rFonts w:ascii="Calibri" w:eastAsia="Calibri" w:hAnsi="Calibri" w:cs="Calibri"/>
                <w:color w:val="000000" w:themeColor="text1"/>
                <w:sz w:val="20"/>
                <w:szCs w:val="20"/>
              </w:rPr>
              <w:t xml:space="preserve"> be authorised where training and/or resources or reasonable adjustments are outstanding. The forms will be filled in at the transitions meeting once all paperwork is completed by the Transitions and Family Liaison Officer.</w:t>
            </w:r>
          </w:p>
        </w:tc>
      </w:tr>
    </w:tbl>
    <w:p w14:paraId="3969616F" w14:textId="77777777" w:rsidR="007F4C58" w:rsidRDefault="007F4C58"/>
    <w:tbl>
      <w:tblPr>
        <w:tblStyle w:val="TableGrid"/>
        <w:tblW w:w="0" w:type="auto"/>
        <w:tblLook w:val="04A0" w:firstRow="1" w:lastRow="0" w:firstColumn="1" w:lastColumn="0" w:noHBand="0" w:noVBand="1"/>
      </w:tblPr>
      <w:tblGrid>
        <w:gridCol w:w="9016"/>
      </w:tblGrid>
      <w:tr w:rsidR="00743CEA" w14:paraId="20C09DE5" w14:textId="77777777" w:rsidTr="007F4C58">
        <w:tc>
          <w:tcPr>
            <w:tcW w:w="9016" w:type="dxa"/>
            <w:hideMark/>
          </w:tcPr>
          <w:p w14:paraId="026611AC" w14:textId="380D6EEF" w:rsidR="00743CEA" w:rsidRDefault="5E496199" w:rsidP="2B96F21C">
            <w:pPr>
              <w:pStyle w:val="ListParagraph"/>
              <w:numPr>
                <w:ilvl w:val="0"/>
                <w:numId w:val="1"/>
              </w:numPr>
            </w:pPr>
            <w:r w:rsidRPr="2B96F21C">
              <w:rPr>
                <w:rFonts w:ascii="Calibri" w:eastAsia="Calibri" w:hAnsi="Calibri" w:cs="Calibri"/>
                <w:b/>
                <w:bCs/>
                <w:color w:val="000000" w:themeColor="text1"/>
                <w:sz w:val="19"/>
                <w:szCs w:val="19"/>
              </w:rPr>
              <w:t>Welcome and familiarisation processes</w:t>
            </w:r>
          </w:p>
        </w:tc>
      </w:tr>
      <w:tr w:rsidR="00743CEA" w14:paraId="15833E2C" w14:textId="77777777" w:rsidTr="007F4C58">
        <w:tc>
          <w:tcPr>
            <w:tcW w:w="9016" w:type="dxa"/>
          </w:tcPr>
          <w:p w14:paraId="4B771F9B" w14:textId="7ABBBDF9"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All new admissions will require </w:t>
            </w:r>
            <w:r w:rsidRPr="2B96F21C">
              <w:rPr>
                <w:rFonts w:ascii="Calibri" w:eastAsia="Calibri" w:hAnsi="Calibri" w:cs="Calibri"/>
                <w:b/>
                <w:bCs/>
                <w:color w:val="000000" w:themeColor="text1"/>
                <w:sz w:val="20"/>
                <w:szCs w:val="20"/>
              </w:rPr>
              <w:t xml:space="preserve">ACS Form: 11C </w:t>
            </w:r>
            <w:r w:rsidRPr="2B96F21C">
              <w:rPr>
                <w:rFonts w:ascii="Calibri" w:eastAsia="Calibri" w:hAnsi="Calibri" w:cs="Calibri"/>
                <w:color w:val="000000" w:themeColor="text1"/>
                <w:sz w:val="20"/>
                <w:szCs w:val="20"/>
              </w:rPr>
              <w:t>filled in by the Transitions and Family Liaison Officer in conjunction with parents on the initial transition meeting</w:t>
            </w:r>
          </w:p>
          <w:p w14:paraId="089D4C42" w14:textId="68C1AB30" w:rsidR="00743CEA" w:rsidRPr="007F4C58"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Forms will be reviewed by class teacher and tutor at the </w:t>
            </w:r>
            <w:r w:rsidR="08BD8152" w:rsidRPr="2B96F21C">
              <w:rPr>
                <w:rFonts w:ascii="Calibri" w:eastAsia="Calibri" w:hAnsi="Calibri" w:cs="Calibri"/>
                <w:color w:val="000000" w:themeColor="text1"/>
                <w:sz w:val="20"/>
                <w:szCs w:val="20"/>
              </w:rPr>
              <w:t>six-week</w:t>
            </w:r>
            <w:r w:rsidRPr="2B96F21C">
              <w:rPr>
                <w:rFonts w:ascii="Calibri" w:eastAsia="Calibri" w:hAnsi="Calibri" w:cs="Calibri"/>
                <w:color w:val="000000" w:themeColor="text1"/>
                <w:sz w:val="20"/>
                <w:szCs w:val="20"/>
              </w:rPr>
              <w:t xml:space="preserve"> review and then annually, or in the event of significant changes.</w:t>
            </w:r>
          </w:p>
        </w:tc>
      </w:tr>
      <w:tr w:rsidR="00743CEA" w14:paraId="57B5BD51" w14:textId="77777777" w:rsidTr="007F4C58">
        <w:tc>
          <w:tcPr>
            <w:tcW w:w="9016" w:type="dxa"/>
            <w:hideMark/>
          </w:tcPr>
          <w:p w14:paraId="66F4C851" w14:textId="1C580A57" w:rsidR="00743CEA" w:rsidRDefault="5E496199" w:rsidP="2B96F21C">
            <w:pPr>
              <w:pStyle w:val="ListParagraph"/>
              <w:numPr>
                <w:ilvl w:val="0"/>
                <w:numId w:val="1"/>
              </w:numPr>
            </w:pPr>
            <w:r w:rsidRPr="2B96F21C">
              <w:rPr>
                <w:rFonts w:ascii="Calibri" w:eastAsia="Calibri" w:hAnsi="Calibri" w:cs="Calibri"/>
                <w:b/>
                <w:bCs/>
                <w:color w:val="000000" w:themeColor="text1"/>
                <w:sz w:val="19"/>
                <w:szCs w:val="19"/>
              </w:rPr>
              <w:t>Assessment of Support Needs</w:t>
            </w:r>
          </w:p>
        </w:tc>
      </w:tr>
      <w:tr w:rsidR="00743CEA" w14:paraId="7F93272A" w14:textId="77777777" w:rsidTr="007F4C58">
        <w:tc>
          <w:tcPr>
            <w:tcW w:w="9016" w:type="dxa"/>
          </w:tcPr>
          <w:p w14:paraId="4A19E73B" w14:textId="370C79CD"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b/>
                <w:bCs/>
                <w:color w:val="000000" w:themeColor="text1"/>
                <w:sz w:val="20"/>
                <w:szCs w:val="20"/>
              </w:rPr>
              <w:t xml:space="preserve">ACS Form: 11G – local amended version </w:t>
            </w:r>
            <w:r w:rsidRPr="2B96F21C">
              <w:rPr>
                <w:rFonts w:ascii="Calibri" w:eastAsia="Calibri" w:hAnsi="Calibri" w:cs="Calibri"/>
                <w:color w:val="000000" w:themeColor="text1"/>
                <w:sz w:val="20"/>
                <w:szCs w:val="20"/>
              </w:rPr>
              <w:t>will be filled out on the initial transition meeting.</w:t>
            </w:r>
          </w:p>
          <w:p w14:paraId="2CD1B95F" w14:textId="14080DC9" w:rsidR="00743CEA" w:rsidRDefault="00743CEA" w:rsidP="007F4C58">
            <w:pPr>
              <w:jc w:val="both"/>
              <w:rPr>
                <w:rFonts w:ascii="Calibri" w:eastAsia="Calibri" w:hAnsi="Calibri" w:cs="Calibri"/>
                <w:color w:val="000000" w:themeColor="text1"/>
                <w:sz w:val="20"/>
                <w:szCs w:val="20"/>
              </w:rPr>
            </w:pPr>
          </w:p>
          <w:p w14:paraId="367D4A2B" w14:textId="1CE53D85"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 xml:space="preserve">Forms will be reviewed by class teacher at the </w:t>
            </w:r>
            <w:r w:rsidR="312A0D6D" w:rsidRPr="2B96F21C">
              <w:rPr>
                <w:rFonts w:ascii="Calibri" w:eastAsia="Calibri" w:hAnsi="Calibri" w:cs="Calibri"/>
                <w:color w:val="000000" w:themeColor="text1"/>
                <w:sz w:val="20"/>
                <w:szCs w:val="20"/>
              </w:rPr>
              <w:t>six-week</w:t>
            </w:r>
            <w:r w:rsidRPr="2B96F21C">
              <w:rPr>
                <w:rFonts w:ascii="Calibri" w:eastAsia="Calibri" w:hAnsi="Calibri" w:cs="Calibri"/>
                <w:color w:val="000000" w:themeColor="text1"/>
                <w:sz w:val="20"/>
                <w:szCs w:val="20"/>
              </w:rPr>
              <w:t xml:space="preserve"> review and then annually, or in the event of significant changes.</w:t>
            </w:r>
          </w:p>
        </w:tc>
      </w:tr>
      <w:tr w:rsidR="00743CEA" w14:paraId="32E29DDC" w14:textId="77777777" w:rsidTr="007F4C58">
        <w:tc>
          <w:tcPr>
            <w:tcW w:w="9016" w:type="dxa"/>
            <w:hideMark/>
          </w:tcPr>
          <w:p w14:paraId="4B526467" w14:textId="716B316E" w:rsidR="00743CEA" w:rsidRDefault="5E496199" w:rsidP="2B96F21C">
            <w:pPr>
              <w:pStyle w:val="ListParagraph"/>
              <w:numPr>
                <w:ilvl w:val="0"/>
                <w:numId w:val="1"/>
              </w:numPr>
              <w:rPr>
                <w:b/>
                <w:bCs/>
              </w:rPr>
            </w:pPr>
            <w:r w:rsidRPr="2B96F21C">
              <w:rPr>
                <w:rFonts w:ascii="Calibri" w:eastAsia="Calibri" w:hAnsi="Calibri" w:cs="Calibri"/>
                <w:b/>
                <w:bCs/>
                <w:color w:val="000000" w:themeColor="text1"/>
                <w:sz w:val="19"/>
                <w:szCs w:val="19"/>
              </w:rPr>
              <w:t xml:space="preserve">Individual Risk Assessment </w:t>
            </w:r>
            <w:r w:rsidRPr="2B96F21C">
              <w:t xml:space="preserve"> </w:t>
            </w:r>
          </w:p>
        </w:tc>
      </w:tr>
      <w:tr w:rsidR="00743CEA" w14:paraId="2F3E5F83" w14:textId="77777777" w:rsidTr="007F4C58">
        <w:tc>
          <w:tcPr>
            <w:tcW w:w="9016" w:type="dxa"/>
          </w:tcPr>
          <w:p w14:paraId="2ECA8EFD" w14:textId="7F8FFF7F"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b/>
                <w:bCs/>
                <w:color w:val="000000" w:themeColor="text1"/>
                <w:sz w:val="20"/>
                <w:szCs w:val="20"/>
              </w:rPr>
              <w:lastRenderedPageBreak/>
              <w:t xml:space="preserve">ACS Form: 13B </w:t>
            </w:r>
            <w:r w:rsidRPr="2B96F21C">
              <w:rPr>
                <w:rFonts w:ascii="Calibri" w:eastAsia="Calibri" w:hAnsi="Calibri" w:cs="Calibri"/>
                <w:color w:val="000000" w:themeColor="text1"/>
                <w:sz w:val="20"/>
                <w:szCs w:val="20"/>
              </w:rPr>
              <w:t xml:space="preserve">will be completed by the Class Teacher during the initial admission/transition process. If </w:t>
            </w:r>
            <w:r w:rsidRPr="2B96F21C">
              <w:rPr>
                <w:rFonts w:ascii="Calibri" w:eastAsia="Calibri" w:hAnsi="Calibri" w:cs="Calibri"/>
                <w:b/>
                <w:bCs/>
                <w:color w:val="000000" w:themeColor="text1"/>
                <w:sz w:val="20"/>
                <w:szCs w:val="20"/>
              </w:rPr>
              <w:t xml:space="preserve">ACS Form: 13B </w:t>
            </w:r>
            <w:r w:rsidRPr="2B96F21C">
              <w:rPr>
                <w:rFonts w:ascii="Calibri" w:eastAsia="Calibri" w:hAnsi="Calibri" w:cs="Calibri"/>
                <w:color w:val="000000" w:themeColor="text1"/>
                <w:sz w:val="20"/>
                <w:szCs w:val="20"/>
              </w:rPr>
              <w:t xml:space="preserve">has identified the risk running away, then a further form </w:t>
            </w:r>
            <w:r w:rsidRPr="2B96F21C">
              <w:rPr>
                <w:rFonts w:ascii="Calibri" w:eastAsia="Calibri" w:hAnsi="Calibri" w:cs="Calibri"/>
                <w:b/>
                <w:bCs/>
                <w:color w:val="000000" w:themeColor="text1"/>
                <w:sz w:val="20"/>
                <w:szCs w:val="20"/>
              </w:rPr>
              <w:t xml:space="preserve">ACS Form: 6 </w:t>
            </w:r>
            <w:r w:rsidRPr="2B96F21C">
              <w:rPr>
                <w:rFonts w:ascii="Calibri" w:eastAsia="Calibri" w:hAnsi="Calibri" w:cs="Calibri"/>
                <w:color w:val="000000" w:themeColor="text1"/>
                <w:sz w:val="20"/>
                <w:szCs w:val="20"/>
              </w:rPr>
              <w:t xml:space="preserve">will need to be completed. </w:t>
            </w:r>
          </w:p>
          <w:p w14:paraId="284D0ED2" w14:textId="2EB6F29B" w:rsidR="00743CEA" w:rsidRDefault="5E496199"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Forms will be reviewed by class teacher and tutor at the six-week review and then annually, or in the event of significant changes.</w:t>
            </w:r>
          </w:p>
        </w:tc>
      </w:tr>
      <w:tr w:rsidR="00743CEA" w14:paraId="4CB21A5B" w14:textId="77777777" w:rsidTr="007F4C58">
        <w:tc>
          <w:tcPr>
            <w:tcW w:w="9016" w:type="dxa"/>
            <w:hideMark/>
          </w:tcPr>
          <w:p w14:paraId="06E2FA89" w14:textId="3A0ED737" w:rsidR="00743CEA" w:rsidRDefault="5E496199" w:rsidP="2B96F21C">
            <w:pPr>
              <w:pStyle w:val="ListParagraph"/>
              <w:numPr>
                <w:ilvl w:val="0"/>
                <w:numId w:val="1"/>
              </w:numPr>
            </w:pPr>
            <w:r w:rsidRPr="2B96F21C">
              <w:rPr>
                <w:rFonts w:ascii="Calibri" w:eastAsia="Calibri" w:hAnsi="Calibri" w:cs="Calibri"/>
                <w:b/>
                <w:bCs/>
                <w:color w:val="000000" w:themeColor="text1"/>
                <w:sz w:val="19"/>
                <w:szCs w:val="19"/>
              </w:rPr>
              <w:t>Monitoring arrangements</w:t>
            </w:r>
          </w:p>
        </w:tc>
      </w:tr>
      <w:tr w:rsidR="00743CEA" w14:paraId="10188951" w14:textId="77777777" w:rsidTr="007F4C58">
        <w:tc>
          <w:tcPr>
            <w:tcW w:w="9016" w:type="dxa"/>
          </w:tcPr>
          <w:p w14:paraId="11AE828D" w14:textId="7090C850" w:rsidR="00743CEA" w:rsidRDefault="38ED17A5"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Regional Operations Directors and Head Teacher are responsible through the processes outlined in the Governance Policy (ACS 16) for monitoring the effectiveness of admissions and compliance with admissions procedures.</w:t>
            </w:r>
          </w:p>
          <w:p w14:paraId="5CDAA8D2" w14:textId="524A19FB" w:rsidR="00743CEA" w:rsidRDefault="00743CEA" w:rsidP="007F4C58">
            <w:pPr>
              <w:jc w:val="both"/>
              <w:rPr>
                <w:rFonts w:ascii="Calibri" w:eastAsia="Calibri" w:hAnsi="Calibri" w:cs="Calibri"/>
                <w:color w:val="000000" w:themeColor="text1"/>
                <w:sz w:val="20"/>
                <w:szCs w:val="20"/>
              </w:rPr>
            </w:pPr>
          </w:p>
          <w:p w14:paraId="008BD935" w14:textId="10AEBC11" w:rsidR="00743CEA" w:rsidRDefault="38ED17A5" w:rsidP="007F4C58">
            <w:pPr>
              <w:jc w:val="both"/>
              <w:rPr>
                <w:rFonts w:ascii="Calibri" w:eastAsia="Calibri" w:hAnsi="Calibri" w:cs="Calibri"/>
                <w:color w:val="000000" w:themeColor="text1"/>
                <w:sz w:val="20"/>
                <w:szCs w:val="20"/>
              </w:rPr>
            </w:pPr>
            <w:r w:rsidRPr="2B96F21C">
              <w:rPr>
                <w:rFonts w:ascii="Calibri" w:eastAsia="Calibri" w:hAnsi="Calibri" w:cs="Calibri"/>
                <w:color w:val="000000" w:themeColor="text1"/>
                <w:sz w:val="20"/>
                <w:szCs w:val="20"/>
              </w:rPr>
              <w:t>In addition to Operational monitoring, for children’s homes Regulation 44 (England) 32 (Wales) assesses compliance with admissions procedures.</w:t>
            </w:r>
          </w:p>
        </w:tc>
      </w:tr>
    </w:tbl>
    <w:p w14:paraId="1858B1B6" w14:textId="77777777" w:rsidR="00743CEA" w:rsidRDefault="00743CEA" w:rsidP="00CD52FA">
      <w:pPr>
        <w:spacing w:after="0"/>
      </w:pPr>
    </w:p>
    <w:tbl>
      <w:tblPr>
        <w:tblStyle w:val="TableGrid"/>
        <w:tblW w:w="0" w:type="auto"/>
        <w:tblLook w:val="04A0" w:firstRow="1" w:lastRow="0" w:firstColumn="1" w:lastColumn="0" w:noHBand="0" w:noVBand="1"/>
      </w:tblPr>
      <w:tblGrid>
        <w:gridCol w:w="4115"/>
        <w:gridCol w:w="394"/>
        <w:gridCol w:w="4167"/>
        <w:gridCol w:w="340"/>
      </w:tblGrid>
      <w:tr w:rsidR="00485DCF" w:rsidRPr="00847CED" w14:paraId="02DC6ECB" w14:textId="77777777" w:rsidTr="2B96F21C">
        <w:tc>
          <w:tcPr>
            <w:tcW w:w="9242" w:type="dxa"/>
            <w:gridSpan w:val="4"/>
            <w:shd w:val="clear" w:color="auto" w:fill="C6D9F1" w:themeFill="text2" w:themeFillTint="33"/>
          </w:tcPr>
          <w:p w14:paraId="3C116856" w14:textId="5D0547E3" w:rsidR="00485DCF" w:rsidRPr="00847CED" w:rsidRDefault="00743CEA" w:rsidP="00524D60">
            <w:pPr>
              <w:rPr>
                <w:b/>
              </w:rPr>
            </w:pPr>
            <w:r>
              <w:br w:type="page"/>
            </w:r>
            <w:r w:rsidR="00485DCF" w:rsidRPr="00847CED">
              <w:rPr>
                <w:b/>
              </w:rPr>
              <w:t>Contents Checklist</w:t>
            </w:r>
            <w:r w:rsidR="00485DCF">
              <w:rPr>
                <w:b/>
              </w:rPr>
              <w:t xml:space="preserve"> </w:t>
            </w:r>
            <w:r w:rsidR="00485DCF" w:rsidRPr="00847CED">
              <w:t xml:space="preserve">(Local </w:t>
            </w:r>
            <w:r w:rsidR="00F86671">
              <w:t xml:space="preserve">Services </w:t>
            </w:r>
            <w:r w:rsidR="00485DCF" w:rsidRPr="00847CED">
              <w:t>may add additional items – this is a core list)</w:t>
            </w:r>
          </w:p>
        </w:tc>
      </w:tr>
      <w:tr w:rsidR="00361903" w14:paraId="56D14566" w14:textId="77777777" w:rsidTr="2B96F21C">
        <w:tc>
          <w:tcPr>
            <w:tcW w:w="4219" w:type="dxa"/>
          </w:tcPr>
          <w:p w14:paraId="5D931EBC" w14:textId="77777777" w:rsidR="00E05740" w:rsidRDefault="00E05740" w:rsidP="002E388C">
            <w:r>
              <w:t>Responsibilities</w:t>
            </w:r>
          </w:p>
        </w:tc>
        <w:tc>
          <w:tcPr>
            <w:tcW w:w="401" w:type="dxa"/>
          </w:tcPr>
          <w:p w14:paraId="700F0CF4" w14:textId="77777777" w:rsidR="00361903" w:rsidRDefault="00361903" w:rsidP="00524D60"/>
        </w:tc>
        <w:tc>
          <w:tcPr>
            <w:tcW w:w="4277" w:type="dxa"/>
          </w:tcPr>
          <w:p w14:paraId="0C70EAC0" w14:textId="77777777" w:rsidR="00361903" w:rsidRDefault="00E05740" w:rsidP="00524D60">
            <w:r>
              <w:t>Health</w:t>
            </w:r>
            <w:r w:rsidR="00F5098F">
              <w:t xml:space="preserve"> arrangements</w:t>
            </w:r>
          </w:p>
        </w:tc>
        <w:tc>
          <w:tcPr>
            <w:tcW w:w="345" w:type="dxa"/>
          </w:tcPr>
          <w:p w14:paraId="62EA6FD6" w14:textId="77777777" w:rsidR="00361903" w:rsidRDefault="00361903" w:rsidP="00524D60"/>
        </w:tc>
      </w:tr>
      <w:tr w:rsidR="00361903" w14:paraId="01A81970" w14:textId="77777777" w:rsidTr="2B96F21C">
        <w:tc>
          <w:tcPr>
            <w:tcW w:w="4219" w:type="dxa"/>
          </w:tcPr>
          <w:p w14:paraId="35604008" w14:textId="77777777" w:rsidR="00361903" w:rsidRDefault="00F5098F" w:rsidP="002E388C">
            <w:r>
              <w:t>Admissions Impact Risk Assessment</w:t>
            </w:r>
          </w:p>
        </w:tc>
        <w:tc>
          <w:tcPr>
            <w:tcW w:w="401" w:type="dxa"/>
          </w:tcPr>
          <w:p w14:paraId="488554EA" w14:textId="77777777" w:rsidR="00361903" w:rsidRDefault="00361903" w:rsidP="00524D60"/>
        </w:tc>
        <w:tc>
          <w:tcPr>
            <w:tcW w:w="4277" w:type="dxa"/>
          </w:tcPr>
          <w:p w14:paraId="3E175EF6" w14:textId="77777777" w:rsidR="00361903" w:rsidRDefault="00E05740" w:rsidP="00524D60">
            <w:r>
              <w:t>Legal arrangements</w:t>
            </w:r>
          </w:p>
        </w:tc>
        <w:tc>
          <w:tcPr>
            <w:tcW w:w="345" w:type="dxa"/>
          </w:tcPr>
          <w:p w14:paraId="21A2E7EC" w14:textId="77777777" w:rsidR="00361903" w:rsidRDefault="00361903" w:rsidP="00524D60"/>
        </w:tc>
      </w:tr>
      <w:tr w:rsidR="00F5098F" w14:paraId="50CD16CA" w14:textId="77777777" w:rsidTr="2B96F21C">
        <w:tc>
          <w:tcPr>
            <w:tcW w:w="4219" w:type="dxa"/>
          </w:tcPr>
          <w:p w14:paraId="28E482DB" w14:textId="77777777" w:rsidR="00F5098F" w:rsidRDefault="00F5098F" w:rsidP="00E43E2A">
            <w:r>
              <w:t>Risk Assessment</w:t>
            </w:r>
          </w:p>
        </w:tc>
        <w:tc>
          <w:tcPr>
            <w:tcW w:w="401" w:type="dxa"/>
          </w:tcPr>
          <w:p w14:paraId="617CC2A1" w14:textId="77777777" w:rsidR="00F5098F" w:rsidRDefault="00F5098F" w:rsidP="00524D60"/>
        </w:tc>
        <w:tc>
          <w:tcPr>
            <w:tcW w:w="4277" w:type="dxa"/>
          </w:tcPr>
          <w:p w14:paraId="0A43933D" w14:textId="77777777" w:rsidR="00F5098F" w:rsidRDefault="00F5098F" w:rsidP="00524D60">
            <w:r>
              <w:t>Welcome and familiarisation processes</w:t>
            </w:r>
          </w:p>
        </w:tc>
        <w:tc>
          <w:tcPr>
            <w:tcW w:w="345" w:type="dxa"/>
          </w:tcPr>
          <w:p w14:paraId="5D7446CD" w14:textId="77777777" w:rsidR="00F5098F" w:rsidRDefault="00F5098F" w:rsidP="00524D60"/>
        </w:tc>
      </w:tr>
      <w:tr w:rsidR="00F5098F" w14:paraId="15966714" w14:textId="77777777" w:rsidTr="2B96F21C">
        <w:tc>
          <w:tcPr>
            <w:tcW w:w="4219" w:type="dxa"/>
          </w:tcPr>
          <w:p w14:paraId="66F027EF" w14:textId="77777777" w:rsidR="00F5098F" w:rsidRDefault="00F5098F" w:rsidP="00E43E2A">
            <w:r>
              <w:t>Admissions information</w:t>
            </w:r>
          </w:p>
        </w:tc>
        <w:tc>
          <w:tcPr>
            <w:tcW w:w="401" w:type="dxa"/>
          </w:tcPr>
          <w:p w14:paraId="2638F2E3" w14:textId="77777777" w:rsidR="00F5098F" w:rsidRDefault="00F5098F" w:rsidP="00524D60"/>
        </w:tc>
        <w:tc>
          <w:tcPr>
            <w:tcW w:w="4277" w:type="dxa"/>
          </w:tcPr>
          <w:p w14:paraId="71CAB9FD" w14:textId="77777777" w:rsidR="00F5098F" w:rsidRDefault="00F5098F" w:rsidP="00524D60">
            <w:r>
              <w:t>Induction and integration processes</w:t>
            </w:r>
          </w:p>
        </w:tc>
        <w:tc>
          <w:tcPr>
            <w:tcW w:w="345" w:type="dxa"/>
          </w:tcPr>
          <w:p w14:paraId="094E22B6" w14:textId="77777777" w:rsidR="00F5098F" w:rsidRDefault="00F5098F" w:rsidP="00524D60"/>
        </w:tc>
      </w:tr>
      <w:tr w:rsidR="00F5098F" w14:paraId="3016EC66" w14:textId="77777777" w:rsidTr="2B96F21C">
        <w:tc>
          <w:tcPr>
            <w:tcW w:w="4219" w:type="dxa"/>
          </w:tcPr>
          <w:p w14:paraId="45FD1E44" w14:textId="169490DE" w:rsidR="00F5098F" w:rsidRDefault="76C620C4" w:rsidP="00E43E2A">
            <w:r>
              <w:t>Documentation completion, access and storage</w:t>
            </w:r>
          </w:p>
        </w:tc>
        <w:tc>
          <w:tcPr>
            <w:tcW w:w="401" w:type="dxa"/>
          </w:tcPr>
          <w:p w14:paraId="1A7EF2CB" w14:textId="77777777" w:rsidR="00F5098F" w:rsidRDefault="00F5098F" w:rsidP="00524D60"/>
        </w:tc>
        <w:tc>
          <w:tcPr>
            <w:tcW w:w="4277" w:type="dxa"/>
          </w:tcPr>
          <w:p w14:paraId="1335124B" w14:textId="77777777" w:rsidR="00F5098F" w:rsidRDefault="00F5098F" w:rsidP="00524D60">
            <w:r>
              <w:t>Monitoring arrangements</w:t>
            </w:r>
          </w:p>
        </w:tc>
        <w:tc>
          <w:tcPr>
            <w:tcW w:w="345" w:type="dxa"/>
          </w:tcPr>
          <w:p w14:paraId="760B71BA" w14:textId="77777777" w:rsidR="00F5098F" w:rsidRDefault="00F5098F" w:rsidP="00524D60"/>
        </w:tc>
      </w:tr>
    </w:tbl>
    <w:p w14:paraId="095A6FEE" w14:textId="77777777" w:rsidR="00CD52FA" w:rsidRDefault="00CD52FA" w:rsidP="00485DCF"/>
    <w:p w14:paraId="6CD9C472" w14:textId="5F1A2716" w:rsidR="00485DCF" w:rsidRPr="00FE1B0D" w:rsidRDefault="00485DCF" w:rsidP="00485DCF">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4"/>
        <w:gridCol w:w="2998"/>
        <w:gridCol w:w="3014"/>
      </w:tblGrid>
      <w:tr w:rsidR="00485DCF" w14:paraId="7A513145" w14:textId="77777777" w:rsidTr="00524D60">
        <w:tc>
          <w:tcPr>
            <w:tcW w:w="3080" w:type="dxa"/>
            <w:shd w:val="clear" w:color="auto" w:fill="C6D9F1" w:themeFill="text2" w:themeFillTint="33"/>
          </w:tcPr>
          <w:p w14:paraId="79522CC4" w14:textId="77777777" w:rsidR="00485DCF" w:rsidRPr="00FE1B0D" w:rsidRDefault="00485DCF" w:rsidP="00524D60">
            <w:pPr>
              <w:rPr>
                <w:b/>
                <w:lang w:eastAsia="en-GB"/>
              </w:rPr>
            </w:pPr>
            <w:r w:rsidRPr="00FE1B0D">
              <w:rPr>
                <w:b/>
                <w:lang w:eastAsia="en-GB"/>
              </w:rPr>
              <w:t>Date Reviewed</w:t>
            </w:r>
          </w:p>
        </w:tc>
        <w:tc>
          <w:tcPr>
            <w:tcW w:w="3081" w:type="dxa"/>
            <w:shd w:val="clear" w:color="auto" w:fill="C6D9F1" w:themeFill="text2" w:themeFillTint="33"/>
          </w:tcPr>
          <w:p w14:paraId="608C5602" w14:textId="77777777" w:rsidR="00485DCF" w:rsidRPr="00FE1B0D" w:rsidRDefault="00485DCF" w:rsidP="00524D60">
            <w:pPr>
              <w:rPr>
                <w:b/>
                <w:lang w:eastAsia="en-GB"/>
              </w:rPr>
            </w:pPr>
            <w:r w:rsidRPr="00FE1B0D">
              <w:rPr>
                <w:b/>
                <w:lang w:eastAsia="en-GB"/>
              </w:rPr>
              <w:t xml:space="preserve">Reviewer </w:t>
            </w:r>
          </w:p>
        </w:tc>
        <w:tc>
          <w:tcPr>
            <w:tcW w:w="3081" w:type="dxa"/>
            <w:shd w:val="clear" w:color="auto" w:fill="C6D9F1" w:themeFill="text2" w:themeFillTint="33"/>
          </w:tcPr>
          <w:p w14:paraId="02CC7FD8" w14:textId="77777777" w:rsidR="00485DCF" w:rsidRPr="00FE1B0D" w:rsidRDefault="00485DCF" w:rsidP="00524D60">
            <w:pPr>
              <w:rPr>
                <w:b/>
                <w:lang w:eastAsia="en-GB"/>
              </w:rPr>
            </w:pPr>
            <w:r w:rsidRPr="00FE1B0D">
              <w:rPr>
                <w:b/>
                <w:lang w:eastAsia="en-GB"/>
              </w:rPr>
              <w:t>Summary of revisions</w:t>
            </w:r>
          </w:p>
        </w:tc>
      </w:tr>
      <w:tr w:rsidR="00485DCF" w14:paraId="69D5A9C5" w14:textId="77777777" w:rsidTr="00524D60">
        <w:tc>
          <w:tcPr>
            <w:tcW w:w="3080" w:type="dxa"/>
          </w:tcPr>
          <w:p w14:paraId="17DC1FEE" w14:textId="433DEAD4" w:rsidR="00485DCF" w:rsidRDefault="007F4C58" w:rsidP="00524D60">
            <w:pPr>
              <w:rPr>
                <w:lang w:eastAsia="en-GB"/>
              </w:rPr>
            </w:pPr>
            <w:r>
              <w:rPr>
                <w:lang w:eastAsia="en-GB"/>
              </w:rPr>
              <w:t>22.09.2025</w:t>
            </w:r>
          </w:p>
        </w:tc>
        <w:tc>
          <w:tcPr>
            <w:tcW w:w="3081" w:type="dxa"/>
          </w:tcPr>
          <w:p w14:paraId="72C19B3D" w14:textId="75F2AF09" w:rsidR="00485DCF" w:rsidRDefault="007F4C58" w:rsidP="00524D60">
            <w:pPr>
              <w:rPr>
                <w:lang w:eastAsia="en-GB"/>
              </w:rPr>
            </w:pPr>
            <w:r>
              <w:rPr>
                <w:lang w:eastAsia="en-GB"/>
              </w:rPr>
              <w:t>Paul Gorham</w:t>
            </w:r>
          </w:p>
        </w:tc>
        <w:tc>
          <w:tcPr>
            <w:tcW w:w="3081" w:type="dxa"/>
          </w:tcPr>
          <w:p w14:paraId="086D72B1" w14:textId="708EC9C4" w:rsidR="00485DCF" w:rsidRDefault="007F4C58" w:rsidP="00524D60">
            <w:pPr>
              <w:rPr>
                <w:lang w:eastAsia="en-GB"/>
              </w:rPr>
            </w:pPr>
            <w:r>
              <w:rPr>
                <w:lang w:eastAsia="en-GB"/>
              </w:rPr>
              <w:t xml:space="preserve">Updated and </w:t>
            </w:r>
            <w:r w:rsidR="000A3618">
              <w:rPr>
                <w:lang w:eastAsia="en-GB"/>
              </w:rPr>
              <w:t>minor amendments made.</w:t>
            </w:r>
          </w:p>
        </w:tc>
      </w:tr>
      <w:tr w:rsidR="00485DCF" w14:paraId="134762AF" w14:textId="77777777" w:rsidTr="00524D60">
        <w:tc>
          <w:tcPr>
            <w:tcW w:w="3080" w:type="dxa"/>
          </w:tcPr>
          <w:p w14:paraId="44DED09E" w14:textId="78139236" w:rsidR="00485DCF" w:rsidRDefault="007B090E" w:rsidP="00524D60">
            <w:pPr>
              <w:rPr>
                <w:lang w:eastAsia="en-GB"/>
              </w:rPr>
            </w:pPr>
            <w:r>
              <w:rPr>
                <w:lang w:eastAsia="en-GB"/>
              </w:rPr>
              <w:t>21.09.2026</w:t>
            </w:r>
          </w:p>
        </w:tc>
        <w:tc>
          <w:tcPr>
            <w:tcW w:w="3081" w:type="dxa"/>
          </w:tcPr>
          <w:p w14:paraId="32F62660" w14:textId="1772646F" w:rsidR="00485DCF" w:rsidRDefault="007B090E" w:rsidP="00524D60">
            <w:pPr>
              <w:rPr>
                <w:lang w:eastAsia="en-GB"/>
              </w:rPr>
            </w:pPr>
            <w:r>
              <w:rPr>
                <w:lang w:eastAsia="en-GB"/>
              </w:rPr>
              <w:t>D Mitchell</w:t>
            </w:r>
          </w:p>
        </w:tc>
        <w:tc>
          <w:tcPr>
            <w:tcW w:w="3081" w:type="dxa"/>
          </w:tcPr>
          <w:p w14:paraId="282AF6B6" w14:textId="1D84475E" w:rsidR="00485DCF" w:rsidRDefault="007B090E" w:rsidP="00524D60">
            <w:pPr>
              <w:rPr>
                <w:lang w:eastAsia="en-GB"/>
              </w:rPr>
            </w:pPr>
            <w:r>
              <w:rPr>
                <w:lang w:eastAsia="en-GB"/>
              </w:rPr>
              <w:t>Minor amendments.</w:t>
            </w:r>
          </w:p>
        </w:tc>
      </w:tr>
      <w:tr w:rsidR="00485DCF" w14:paraId="65CD7C67" w14:textId="77777777" w:rsidTr="00524D60">
        <w:tc>
          <w:tcPr>
            <w:tcW w:w="3080" w:type="dxa"/>
          </w:tcPr>
          <w:p w14:paraId="34A1A0C0" w14:textId="77777777" w:rsidR="00485DCF" w:rsidRDefault="00485DCF" w:rsidP="00524D60">
            <w:pPr>
              <w:rPr>
                <w:lang w:eastAsia="en-GB"/>
              </w:rPr>
            </w:pPr>
          </w:p>
        </w:tc>
        <w:tc>
          <w:tcPr>
            <w:tcW w:w="3081" w:type="dxa"/>
          </w:tcPr>
          <w:p w14:paraId="37A0C309" w14:textId="77777777" w:rsidR="00485DCF" w:rsidRDefault="00485DCF" w:rsidP="00524D60">
            <w:pPr>
              <w:rPr>
                <w:lang w:eastAsia="en-GB"/>
              </w:rPr>
            </w:pPr>
          </w:p>
        </w:tc>
        <w:tc>
          <w:tcPr>
            <w:tcW w:w="3081" w:type="dxa"/>
          </w:tcPr>
          <w:p w14:paraId="2D670F94" w14:textId="77777777" w:rsidR="00485DCF" w:rsidRDefault="00485DCF" w:rsidP="00524D60">
            <w:pPr>
              <w:rPr>
                <w:lang w:eastAsia="en-GB"/>
              </w:rPr>
            </w:pPr>
          </w:p>
        </w:tc>
      </w:tr>
      <w:tr w:rsidR="00485DCF" w14:paraId="315DF519" w14:textId="77777777" w:rsidTr="00524D60">
        <w:tc>
          <w:tcPr>
            <w:tcW w:w="3080" w:type="dxa"/>
          </w:tcPr>
          <w:p w14:paraId="172A5AE1" w14:textId="77777777" w:rsidR="00485DCF" w:rsidRDefault="00485DCF" w:rsidP="00524D60">
            <w:pPr>
              <w:rPr>
                <w:lang w:eastAsia="en-GB"/>
              </w:rPr>
            </w:pPr>
          </w:p>
        </w:tc>
        <w:tc>
          <w:tcPr>
            <w:tcW w:w="3081" w:type="dxa"/>
          </w:tcPr>
          <w:p w14:paraId="4EED2CF3" w14:textId="77777777" w:rsidR="00485DCF" w:rsidRDefault="00485DCF" w:rsidP="00524D60">
            <w:pPr>
              <w:rPr>
                <w:lang w:eastAsia="en-GB"/>
              </w:rPr>
            </w:pPr>
          </w:p>
        </w:tc>
        <w:tc>
          <w:tcPr>
            <w:tcW w:w="3081" w:type="dxa"/>
          </w:tcPr>
          <w:p w14:paraId="7BE23D7E" w14:textId="77777777" w:rsidR="00485DCF" w:rsidRDefault="00485DCF" w:rsidP="00524D60">
            <w:pPr>
              <w:rPr>
                <w:lang w:eastAsia="en-GB"/>
              </w:rPr>
            </w:pPr>
          </w:p>
        </w:tc>
      </w:tr>
      <w:tr w:rsidR="00485DCF" w14:paraId="04A24300" w14:textId="77777777" w:rsidTr="00524D60">
        <w:tc>
          <w:tcPr>
            <w:tcW w:w="3080" w:type="dxa"/>
          </w:tcPr>
          <w:p w14:paraId="7C909054" w14:textId="77777777" w:rsidR="00485DCF" w:rsidRDefault="00485DCF" w:rsidP="00524D60">
            <w:pPr>
              <w:rPr>
                <w:lang w:eastAsia="en-GB"/>
              </w:rPr>
            </w:pPr>
          </w:p>
        </w:tc>
        <w:tc>
          <w:tcPr>
            <w:tcW w:w="3081" w:type="dxa"/>
          </w:tcPr>
          <w:p w14:paraId="50FDD4F6" w14:textId="77777777" w:rsidR="00485DCF" w:rsidRDefault="00485DCF" w:rsidP="00524D60">
            <w:pPr>
              <w:rPr>
                <w:lang w:eastAsia="en-GB"/>
              </w:rPr>
            </w:pPr>
          </w:p>
        </w:tc>
        <w:tc>
          <w:tcPr>
            <w:tcW w:w="3081" w:type="dxa"/>
          </w:tcPr>
          <w:p w14:paraId="34DFB151" w14:textId="77777777" w:rsidR="00485DCF" w:rsidRDefault="00485DCF" w:rsidP="00524D60">
            <w:pPr>
              <w:rPr>
                <w:lang w:eastAsia="en-GB"/>
              </w:rPr>
            </w:pPr>
          </w:p>
        </w:tc>
      </w:tr>
      <w:tr w:rsidR="00485DCF" w14:paraId="7C42B16B" w14:textId="77777777" w:rsidTr="00524D60">
        <w:tc>
          <w:tcPr>
            <w:tcW w:w="3080" w:type="dxa"/>
          </w:tcPr>
          <w:p w14:paraId="5FF110EB" w14:textId="77777777" w:rsidR="00485DCF" w:rsidRDefault="00485DCF" w:rsidP="00524D60">
            <w:pPr>
              <w:rPr>
                <w:lang w:eastAsia="en-GB"/>
              </w:rPr>
            </w:pPr>
          </w:p>
        </w:tc>
        <w:tc>
          <w:tcPr>
            <w:tcW w:w="3081" w:type="dxa"/>
          </w:tcPr>
          <w:p w14:paraId="3E22F0DF" w14:textId="77777777" w:rsidR="00485DCF" w:rsidRDefault="00485DCF" w:rsidP="00524D60">
            <w:pPr>
              <w:rPr>
                <w:lang w:eastAsia="en-GB"/>
              </w:rPr>
            </w:pPr>
          </w:p>
        </w:tc>
        <w:tc>
          <w:tcPr>
            <w:tcW w:w="3081" w:type="dxa"/>
          </w:tcPr>
          <w:p w14:paraId="5D7F6B42" w14:textId="77777777" w:rsidR="00485DCF" w:rsidRDefault="00485DCF" w:rsidP="00524D60">
            <w:pPr>
              <w:rPr>
                <w:lang w:eastAsia="en-GB"/>
              </w:rPr>
            </w:pPr>
          </w:p>
        </w:tc>
      </w:tr>
      <w:tr w:rsidR="00485DCF" w14:paraId="077C30B2" w14:textId="77777777" w:rsidTr="00524D60">
        <w:tc>
          <w:tcPr>
            <w:tcW w:w="3080" w:type="dxa"/>
          </w:tcPr>
          <w:p w14:paraId="259D4C09" w14:textId="77777777" w:rsidR="00485DCF" w:rsidRDefault="00485DCF" w:rsidP="00524D60">
            <w:pPr>
              <w:rPr>
                <w:lang w:eastAsia="en-GB"/>
              </w:rPr>
            </w:pPr>
          </w:p>
        </w:tc>
        <w:tc>
          <w:tcPr>
            <w:tcW w:w="3081" w:type="dxa"/>
          </w:tcPr>
          <w:p w14:paraId="1E7AB9FB" w14:textId="77777777" w:rsidR="00485DCF" w:rsidRDefault="00485DCF" w:rsidP="00524D60">
            <w:pPr>
              <w:rPr>
                <w:lang w:eastAsia="en-GB"/>
              </w:rPr>
            </w:pPr>
          </w:p>
        </w:tc>
        <w:tc>
          <w:tcPr>
            <w:tcW w:w="3081" w:type="dxa"/>
          </w:tcPr>
          <w:p w14:paraId="653D9B50" w14:textId="77777777" w:rsidR="00485DCF" w:rsidRDefault="00485DCF" w:rsidP="00524D60">
            <w:pPr>
              <w:rPr>
                <w:lang w:eastAsia="en-GB"/>
              </w:rPr>
            </w:pPr>
          </w:p>
        </w:tc>
      </w:tr>
    </w:tbl>
    <w:p w14:paraId="4264CDF8" w14:textId="77777777" w:rsidR="00485DCF" w:rsidRPr="00FE1B0D" w:rsidRDefault="00485DCF" w:rsidP="00485DCF">
      <w:pPr>
        <w:rPr>
          <w:lang w:eastAsia="en-GB"/>
        </w:rPr>
      </w:pPr>
    </w:p>
    <w:p w14:paraId="303E6A80" w14:textId="77777777" w:rsidR="00C30A28" w:rsidRDefault="00C30A28"/>
    <w:sectPr w:rsidR="00C30A28" w:rsidSect="00215584">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AAFB8" w14:textId="77777777" w:rsidR="0076613E" w:rsidRDefault="0076613E">
      <w:pPr>
        <w:spacing w:after="0" w:line="240" w:lineRule="auto"/>
      </w:pPr>
      <w:r>
        <w:separator/>
      </w:r>
    </w:p>
  </w:endnote>
  <w:endnote w:type="continuationSeparator" w:id="0">
    <w:p w14:paraId="59354FFC" w14:textId="77777777" w:rsidR="0076613E" w:rsidRDefault="00766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88D0" w14:textId="77777777" w:rsidR="007B090E" w:rsidRDefault="007B0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C597" w14:textId="7275A9BC" w:rsidR="00743CEA" w:rsidRPr="004C0F0F" w:rsidRDefault="00743CEA" w:rsidP="00743CEA">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proofErr w:type="spellStart"/>
    <w:r w:rsidR="00367E7D">
      <w:rPr>
        <w:rFonts w:ascii="Tahoma" w:hAnsi="Tahoma" w:cs="Tahoma"/>
        <w:sz w:val="16"/>
        <w:szCs w:val="16"/>
      </w:rPr>
      <w:t>Aspris</w:t>
    </w:r>
    <w:proofErr w:type="spellEnd"/>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367E7D">
      <w:rPr>
        <w:rFonts w:ascii="Tahoma" w:hAnsi="Tahoma" w:cs="Tahoma"/>
        <w:b/>
        <w:sz w:val="16"/>
        <w:szCs w:val="16"/>
      </w:rPr>
      <w:t xml:space="preserve">ACS </w:t>
    </w:r>
    <w:r w:rsidR="00F2698A">
      <w:rPr>
        <w:rFonts w:ascii="Tahoma" w:hAnsi="Tahoma" w:cs="Tahoma"/>
        <w:b/>
        <w:sz w:val="16"/>
        <w:szCs w:val="16"/>
      </w:rPr>
      <w:t>Form</w:t>
    </w:r>
    <w:r>
      <w:rPr>
        <w:rFonts w:ascii="Tahoma" w:hAnsi="Tahoma" w:cs="Tahoma"/>
        <w:b/>
        <w:sz w:val="16"/>
        <w:szCs w:val="16"/>
      </w:rPr>
      <w:t xml:space="preserve">: </w:t>
    </w:r>
    <w:r w:rsidR="00F2698A">
      <w:rPr>
        <w:rFonts w:ascii="Tahoma" w:hAnsi="Tahoma" w:cs="Tahoma"/>
        <w:b/>
        <w:sz w:val="16"/>
        <w:szCs w:val="16"/>
      </w:rPr>
      <w:t>27</w:t>
    </w:r>
  </w:p>
  <w:p w14:paraId="350E0301" w14:textId="0AE60A6A" w:rsidR="00743CEA" w:rsidRPr="00C20A5B" w:rsidRDefault="57EB17D2" w:rsidP="00743CEA">
    <w:pPr>
      <w:pStyle w:val="Footer"/>
      <w:ind w:right="-186"/>
    </w:pPr>
    <w:proofErr w:type="spellStart"/>
    <w:r w:rsidRPr="69861462">
      <w:rPr>
        <w:rFonts w:ascii="Tahoma" w:hAnsi="Tahoma" w:cs="Tahoma"/>
        <w:sz w:val="16"/>
        <w:szCs w:val="16"/>
      </w:rPr>
      <w:t>Aspris</w:t>
    </w:r>
    <w:proofErr w:type="spellEnd"/>
    <w:r w:rsidR="1B8DB7F2" w:rsidRPr="69861462">
      <w:rPr>
        <w:rFonts w:ascii="Tahoma" w:hAnsi="Tahoma" w:cs="Tahoma"/>
        <w:sz w:val="16"/>
        <w:szCs w:val="16"/>
      </w:rPr>
      <w:t xml:space="preserve"> Children’s </w:t>
    </w:r>
    <w:r w:rsidRPr="69861462">
      <w:rPr>
        <w:rFonts w:ascii="Tahoma" w:hAnsi="Tahoma" w:cs="Tahoma"/>
        <w:sz w:val="16"/>
        <w:szCs w:val="16"/>
      </w:rPr>
      <w:t>Services – V0</w:t>
    </w:r>
    <w:r w:rsidR="1A85EB6F" w:rsidRPr="69861462">
      <w:rPr>
        <w:rFonts w:ascii="Tahoma" w:hAnsi="Tahoma" w:cs="Tahoma"/>
        <w:sz w:val="16"/>
        <w:szCs w:val="16"/>
      </w:rPr>
      <w:t>4</w:t>
    </w:r>
    <w:r w:rsidR="3361C6BD" w:rsidRPr="69861462">
      <w:rPr>
        <w:rFonts w:ascii="Tahoma" w:hAnsi="Tahoma" w:cs="Tahoma"/>
        <w:sz w:val="16"/>
        <w:szCs w:val="16"/>
      </w:rPr>
      <w:t xml:space="preserve"> </w:t>
    </w:r>
    <w:r w:rsidR="5408ACE2" w:rsidRPr="69861462">
      <w:rPr>
        <w:rFonts w:ascii="Tahoma" w:hAnsi="Tahoma" w:cs="Tahoma"/>
        <w:sz w:val="16"/>
        <w:szCs w:val="16"/>
      </w:rPr>
      <w:t>–</w:t>
    </w:r>
    <w:r w:rsidR="3361C6BD" w:rsidRPr="69861462">
      <w:rPr>
        <w:rFonts w:ascii="Tahoma" w:hAnsi="Tahoma" w:cs="Tahoma"/>
        <w:sz w:val="16"/>
        <w:szCs w:val="16"/>
      </w:rPr>
      <w:t xml:space="preserve"> </w:t>
    </w:r>
    <w:r w:rsidR="69861462" w:rsidRPr="69861462">
      <w:rPr>
        <w:rFonts w:ascii="Tahoma" w:hAnsi="Tahoma" w:cs="Tahoma"/>
        <w:sz w:val="16"/>
        <w:szCs w:val="16"/>
      </w:rPr>
      <w:t>September 2026</w:t>
    </w:r>
    <w:r w:rsidR="00367E7D">
      <w:tab/>
    </w:r>
    <w:r w:rsidR="3361C6BD" w:rsidRPr="69861462">
      <w:rPr>
        <w:rFonts w:ascii="Tahoma" w:hAnsi="Tahoma" w:cs="Tahoma"/>
        <w:sz w:val="16"/>
        <w:szCs w:val="16"/>
      </w:rPr>
      <w:t xml:space="preserve"> </w:t>
    </w:r>
    <w:r w:rsidR="00367E7D">
      <w:tab/>
    </w:r>
    <w:r w:rsidR="3361C6BD" w:rsidRPr="69861462">
      <w:rPr>
        <w:rFonts w:ascii="Tahoma" w:hAnsi="Tahoma" w:cs="Tahoma"/>
        <w:sz w:val="16"/>
        <w:szCs w:val="16"/>
      </w:rPr>
      <w:t xml:space="preserve">Page </w:t>
    </w:r>
    <w:r w:rsidR="00367E7D" w:rsidRPr="69861462">
      <w:rPr>
        <w:rStyle w:val="PageNumber"/>
        <w:rFonts w:ascii="Tahoma" w:hAnsi="Tahoma" w:cs="Tahoma"/>
        <w:noProof/>
        <w:sz w:val="16"/>
        <w:szCs w:val="16"/>
      </w:rPr>
      <w:fldChar w:fldCharType="begin"/>
    </w:r>
    <w:r w:rsidR="00367E7D" w:rsidRPr="69861462">
      <w:rPr>
        <w:rStyle w:val="PageNumber"/>
        <w:rFonts w:ascii="Tahoma" w:hAnsi="Tahoma" w:cs="Tahoma"/>
        <w:sz w:val="16"/>
        <w:szCs w:val="16"/>
      </w:rPr>
      <w:instrText xml:space="preserve"> PAGE </w:instrText>
    </w:r>
    <w:r w:rsidR="00367E7D" w:rsidRPr="69861462">
      <w:rPr>
        <w:rStyle w:val="PageNumber"/>
        <w:rFonts w:ascii="Tahoma" w:hAnsi="Tahoma" w:cs="Tahoma"/>
        <w:sz w:val="16"/>
        <w:szCs w:val="16"/>
      </w:rPr>
      <w:fldChar w:fldCharType="separate"/>
    </w:r>
    <w:r w:rsidRPr="69861462">
      <w:rPr>
        <w:rStyle w:val="PageNumber"/>
        <w:rFonts w:ascii="Tahoma" w:hAnsi="Tahoma" w:cs="Tahoma"/>
        <w:noProof/>
        <w:sz w:val="16"/>
        <w:szCs w:val="16"/>
      </w:rPr>
      <w:t>1</w:t>
    </w:r>
    <w:r w:rsidR="00367E7D" w:rsidRPr="69861462">
      <w:rPr>
        <w:rStyle w:val="PageNumber"/>
        <w:rFonts w:ascii="Tahoma" w:hAnsi="Tahoma" w:cs="Tahoma"/>
        <w:noProof/>
        <w:sz w:val="16"/>
        <w:szCs w:val="16"/>
      </w:rPr>
      <w:fldChar w:fldCharType="end"/>
    </w:r>
    <w:r w:rsidR="3361C6BD" w:rsidRPr="69861462">
      <w:rPr>
        <w:rFonts w:ascii="Tahoma" w:hAnsi="Tahoma" w:cs="Tahoma"/>
        <w:sz w:val="16"/>
        <w:szCs w:val="16"/>
      </w:rPr>
      <w:t xml:space="preserve"> of </w:t>
    </w:r>
    <w:r w:rsidR="00367E7D" w:rsidRPr="69861462">
      <w:rPr>
        <w:rFonts w:ascii="Tahoma" w:hAnsi="Tahoma" w:cs="Tahoma"/>
        <w:noProof/>
        <w:sz w:val="16"/>
        <w:szCs w:val="16"/>
      </w:rPr>
      <w:fldChar w:fldCharType="begin"/>
    </w:r>
    <w:r w:rsidR="00367E7D" w:rsidRPr="69861462">
      <w:rPr>
        <w:rFonts w:ascii="Tahoma" w:hAnsi="Tahoma" w:cs="Tahoma"/>
        <w:sz w:val="16"/>
        <w:szCs w:val="16"/>
      </w:rPr>
      <w:instrText xml:space="preserve"> NUMPAGES  </w:instrText>
    </w:r>
    <w:r w:rsidR="00367E7D" w:rsidRPr="69861462">
      <w:rPr>
        <w:rFonts w:ascii="Tahoma" w:hAnsi="Tahoma" w:cs="Tahoma"/>
        <w:sz w:val="16"/>
        <w:szCs w:val="16"/>
      </w:rPr>
      <w:fldChar w:fldCharType="separate"/>
    </w:r>
    <w:r w:rsidRPr="69861462">
      <w:rPr>
        <w:rFonts w:ascii="Tahoma" w:hAnsi="Tahoma" w:cs="Tahoma"/>
        <w:noProof/>
        <w:sz w:val="16"/>
        <w:szCs w:val="16"/>
      </w:rPr>
      <w:t>2</w:t>
    </w:r>
    <w:r w:rsidR="00367E7D" w:rsidRPr="69861462">
      <w:rPr>
        <w:rFonts w:ascii="Tahoma" w:hAnsi="Tahoma" w:cs="Tahoma"/>
        <w:noProof/>
        <w:sz w:val="16"/>
        <w:szCs w:val="16"/>
      </w:rPr>
      <w:fldChar w:fldCharType="end"/>
    </w:r>
  </w:p>
  <w:p w14:paraId="75960C56" w14:textId="77777777" w:rsidR="00F86671" w:rsidRPr="00847CED" w:rsidRDefault="00F86671">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A0239" w14:textId="77777777" w:rsidR="007B090E" w:rsidRDefault="007B0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5DE6" w14:textId="77777777" w:rsidR="0076613E" w:rsidRDefault="0076613E">
      <w:pPr>
        <w:spacing w:after="0" w:line="240" w:lineRule="auto"/>
      </w:pPr>
      <w:r>
        <w:separator/>
      </w:r>
    </w:p>
  </w:footnote>
  <w:footnote w:type="continuationSeparator" w:id="0">
    <w:p w14:paraId="140B8CC2" w14:textId="77777777" w:rsidR="0076613E" w:rsidRDefault="00766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CBEB" w14:textId="77777777" w:rsidR="007B090E" w:rsidRDefault="007B0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820C" w14:textId="68C25E81" w:rsidR="00F86671" w:rsidRPr="00A120E5" w:rsidRDefault="00A120E5">
    <w:pPr>
      <w:pStyle w:val="Header"/>
      <w:rPr>
        <w:lang w:val="en-US"/>
      </w:rPr>
    </w:pPr>
    <w:r>
      <w:rPr>
        <w:rFonts w:ascii="Tahoma" w:hAnsi="Tahoma" w:cs="Tahoma"/>
        <w:b/>
        <w:color w:val="7F7F7F" w:themeColor="text1" w:themeTint="80"/>
        <w:sz w:val="16"/>
        <w:szCs w:val="16"/>
        <w:lang w:val="en-US"/>
      </w:rPr>
      <w:t>A</w:t>
    </w:r>
    <w:r w:rsidR="007B090E">
      <w:rPr>
        <w:rFonts w:ascii="Tahoma" w:hAnsi="Tahoma" w:cs="Tahoma"/>
        <w:b/>
        <w:color w:val="7F7F7F" w:themeColor="text1" w:themeTint="80"/>
        <w:sz w:val="16"/>
        <w:szCs w:val="16"/>
        <w:lang w:val="en-US"/>
      </w:rPr>
      <w:t xml:space="preserve">dmissions </w:t>
    </w:r>
    <w:r>
      <w:rPr>
        <w:rFonts w:ascii="Tahoma" w:hAnsi="Tahoma" w:cs="Tahoma"/>
        <w:b/>
        <w:color w:val="7F7F7F" w:themeColor="text1" w:themeTint="80"/>
        <w:sz w:val="16"/>
        <w:szCs w:val="16"/>
        <w:lang w:val="en-US"/>
      </w:rPr>
      <w:t>P</w:t>
    </w:r>
    <w:r w:rsidR="007B090E">
      <w:rPr>
        <w:rFonts w:ascii="Tahoma" w:hAnsi="Tahoma" w:cs="Tahoma"/>
        <w:b/>
        <w:color w:val="7F7F7F" w:themeColor="text1" w:themeTint="80"/>
        <w:sz w:val="16"/>
        <w:szCs w:val="16"/>
        <w:lang w:val="en-US"/>
      </w:rPr>
      <w:t>lan</w:t>
    </w:r>
    <w:r>
      <w:rPr>
        <w:rFonts w:ascii="Tahoma" w:hAnsi="Tahoma" w:cs="Tahoma"/>
        <w:b/>
        <w:color w:val="7F7F7F" w:themeColor="text1" w:themeTint="80"/>
        <w:sz w:val="16"/>
        <w:szCs w:val="16"/>
        <w:lang w:val="en-US"/>
      </w:rPr>
      <w:t xml:space="preserve">: </w:t>
    </w:r>
    <w:r w:rsidR="007B090E">
      <w:rPr>
        <w:rFonts w:ascii="Tahoma" w:hAnsi="Tahoma" w:cs="Tahoma"/>
        <w:b/>
        <w:color w:val="7F7F7F" w:themeColor="text1" w:themeTint="80"/>
        <w:sz w:val="16"/>
        <w:szCs w:val="16"/>
        <w:lang w:val="en-US"/>
      </w:rPr>
      <w:t>Newbury Manor School</w:t>
    </w:r>
    <w:r>
      <w:rPr>
        <w:rFonts w:ascii="Tahoma" w:hAnsi="Tahoma" w:cs="Tahoma"/>
        <w:b/>
        <w:color w:val="7F7F7F" w:themeColor="text1" w:themeTint="80"/>
        <w:sz w:val="16"/>
        <w:szCs w:val="16"/>
        <w:lang w:val="en-US"/>
      </w:rPr>
      <w:t xml:space="preserve"> –</w:t>
    </w:r>
    <w:r w:rsidR="007B090E">
      <w:rPr>
        <w:rFonts w:ascii="Tahoma" w:hAnsi="Tahoma" w:cs="Tahoma"/>
        <w:b/>
        <w:color w:val="7F7F7F" w:themeColor="text1" w:themeTint="80"/>
        <w:sz w:val="16"/>
        <w:szCs w:val="16"/>
        <w:lang w:val="en-US"/>
      </w:rPr>
      <w:t xml:space="preserve"> September</w:t>
    </w:r>
    <w:r>
      <w:rPr>
        <w:rFonts w:ascii="Tahoma" w:hAnsi="Tahoma" w:cs="Tahoma"/>
        <w:b/>
        <w:color w:val="7F7F7F" w:themeColor="text1" w:themeTint="80"/>
        <w:sz w:val="16"/>
        <w:szCs w:val="16"/>
        <w:lang w:val="en-US"/>
      </w:rPr>
      <w:t xml:space="preserve"> </w:t>
    </w:r>
    <w:r w:rsidR="007B090E">
      <w:rPr>
        <w:rFonts w:ascii="Tahoma" w:hAnsi="Tahoma" w:cs="Tahoma"/>
        <w:b/>
        <w:color w:val="7F7F7F" w:themeColor="text1" w:themeTint="80"/>
        <w:sz w:val="16"/>
        <w:szCs w:val="16"/>
        <w:lang w:val="en-US"/>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E454" w14:textId="77777777" w:rsidR="007B090E" w:rsidRDefault="007B0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4E8C4"/>
    <w:multiLevelType w:val="hybridMultilevel"/>
    <w:tmpl w:val="5692773C"/>
    <w:lvl w:ilvl="0" w:tplc="D73EEA06">
      <w:start w:val="1"/>
      <w:numFmt w:val="decimal"/>
      <w:lvlText w:val="%1."/>
      <w:lvlJc w:val="left"/>
      <w:pPr>
        <w:ind w:left="720" w:hanging="360"/>
      </w:pPr>
    </w:lvl>
    <w:lvl w:ilvl="1" w:tplc="7130CB9C">
      <w:start w:val="1"/>
      <w:numFmt w:val="lowerLetter"/>
      <w:lvlText w:val="%2."/>
      <w:lvlJc w:val="left"/>
      <w:pPr>
        <w:ind w:left="1440" w:hanging="360"/>
      </w:pPr>
    </w:lvl>
    <w:lvl w:ilvl="2" w:tplc="D3BEBAB8">
      <w:start w:val="1"/>
      <w:numFmt w:val="lowerRoman"/>
      <w:lvlText w:val="%3."/>
      <w:lvlJc w:val="right"/>
      <w:pPr>
        <w:ind w:left="2160" w:hanging="180"/>
      </w:pPr>
    </w:lvl>
    <w:lvl w:ilvl="3" w:tplc="96827116">
      <w:start w:val="1"/>
      <w:numFmt w:val="decimal"/>
      <w:lvlText w:val="%4."/>
      <w:lvlJc w:val="left"/>
      <w:pPr>
        <w:ind w:left="2880" w:hanging="360"/>
      </w:pPr>
    </w:lvl>
    <w:lvl w:ilvl="4" w:tplc="F08A5E82">
      <w:start w:val="1"/>
      <w:numFmt w:val="lowerLetter"/>
      <w:lvlText w:val="%5."/>
      <w:lvlJc w:val="left"/>
      <w:pPr>
        <w:ind w:left="3600" w:hanging="360"/>
      </w:pPr>
    </w:lvl>
    <w:lvl w:ilvl="5" w:tplc="FBF22F6A">
      <w:start w:val="1"/>
      <w:numFmt w:val="lowerRoman"/>
      <w:lvlText w:val="%6."/>
      <w:lvlJc w:val="right"/>
      <w:pPr>
        <w:ind w:left="4320" w:hanging="180"/>
      </w:pPr>
    </w:lvl>
    <w:lvl w:ilvl="6" w:tplc="466AC6E4">
      <w:start w:val="1"/>
      <w:numFmt w:val="decimal"/>
      <w:lvlText w:val="%7."/>
      <w:lvlJc w:val="left"/>
      <w:pPr>
        <w:ind w:left="5040" w:hanging="360"/>
      </w:pPr>
    </w:lvl>
    <w:lvl w:ilvl="7" w:tplc="B0E02E00">
      <w:start w:val="1"/>
      <w:numFmt w:val="lowerLetter"/>
      <w:lvlText w:val="%8."/>
      <w:lvlJc w:val="left"/>
      <w:pPr>
        <w:ind w:left="5760" w:hanging="360"/>
      </w:pPr>
    </w:lvl>
    <w:lvl w:ilvl="8" w:tplc="30A20970">
      <w:start w:val="1"/>
      <w:numFmt w:val="lowerRoman"/>
      <w:lvlText w:val="%9."/>
      <w:lvlJc w:val="right"/>
      <w:pPr>
        <w:ind w:left="6480" w:hanging="180"/>
      </w:pPr>
    </w:lvl>
  </w:abstractNum>
  <w:abstractNum w:abstractNumId="1" w15:restartNumberingAfterBreak="0">
    <w:nsid w:val="67724A8C"/>
    <w:multiLevelType w:val="hybridMultilevel"/>
    <w:tmpl w:val="2678253C"/>
    <w:lvl w:ilvl="0" w:tplc="5358CDB4">
      <w:start w:val="1"/>
      <w:numFmt w:val="decimal"/>
      <w:lvlText w:val="%1."/>
      <w:lvlJc w:val="left"/>
      <w:pPr>
        <w:ind w:left="720" w:hanging="360"/>
      </w:pPr>
    </w:lvl>
    <w:lvl w:ilvl="1" w:tplc="F61E6608" w:tentative="1">
      <w:start w:val="1"/>
      <w:numFmt w:val="lowerLetter"/>
      <w:lvlText w:val="%2."/>
      <w:lvlJc w:val="left"/>
      <w:pPr>
        <w:ind w:left="1440" w:hanging="360"/>
      </w:pPr>
    </w:lvl>
    <w:lvl w:ilvl="2" w:tplc="B0F67AE0" w:tentative="1">
      <w:start w:val="1"/>
      <w:numFmt w:val="lowerRoman"/>
      <w:lvlText w:val="%3."/>
      <w:lvlJc w:val="right"/>
      <w:pPr>
        <w:ind w:left="2160" w:hanging="180"/>
      </w:pPr>
    </w:lvl>
    <w:lvl w:ilvl="3" w:tplc="3F561158" w:tentative="1">
      <w:start w:val="1"/>
      <w:numFmt w:val="decimal"/>
      <w:lvlText w:val="%4."/>
      <w:lvlJc w:val="left"/>
      <w:pPr>
        <w:ind w:left="2880" w:hanging="360"/>
      </w:pPr>
    </w:lvl>
    <w:lvl w:ilvl="4" w:tplc="CA14F92C" w:tentative="1">
      <w:start w:val="1"/>
      <w:numFmt w:val="lowerLetter"/>
      <w:lvlText w:val="%5."/>
      <w:lvlJc w:val="left"/>
      <w:pPr>
        <w:ind w:left="3600" w:hanging="360"/>
      </w:pPr>
    </w:lvl>
    <w:lvl w:ilvl="5" w:tplc="9D94B708" w:tentative="1">
      <w:start w:val="1"/>
      <w:numFmt w:val="lowerRoman"/>
      <w:lvlText w:val="%6."/>
      <w:lvlJc w:val="right"/>
      <w:pPr>
        <w:ind w:left="4320" w:hanging="180"/>
      </w:pPr>
    </w:lvl>
    <w:lvl w:ilvl="6" w:tplc="300814C6" w:tentative="1">
      <w:start w:val="1"/>
      <w:numFmt w:val="decimal"/>
      <w:lvlText w:val="%7."/>
      <w:lvlJc w:val="left"/>
      <w:pPr>
        <w:ind w:left="5040" w:hanging="360"/>
      </w:pPr>
    </w:lvl>
    <w:lvl w:ilvl="7" w:tplc="7170362A" w:tentative="1">
      <w:start w:val="1"/>
      <w:numFmt w:val="lowerLetter"/>
      <w:lvlText w:val="%8."/>
      <w:lvlJc w:val="left"/>
      <w:pPr>
        <w:ind w:left="5760" w:hanging="360"/>
      </w:pPr>
    </w:lvl>
    <w:lvl w:ilvl="8" w:tplc="440295F0" w:tentative="1">
      <w:start w:val="1"/>
      <w:numFmt w:val="lowerRoman"/>
      <w:lvlText w:val="%9."/>
      <w:lvlJc w:val="right"/>
      <w:pPr>
        <w:ind w:left="6480" w:hanging="180"/>
      </w:pPr>
    </w:lvl>
  </w:abstractNum>
  <w:abstractNum w:abstractNumId="2" w15:restartNumberingAfterBreak="0">
    <w:nsid w:val="7C6BFA62"/>
    <w:multiLevelType w:val="hybridMultilevel"/>
    <w:tmpl w:val="C4220852"/>
    <w:lvl w:ilvl="0" w:tplc="84C85540">
      <w:start w:val="1"/>
      <w:numFmt w:val="lowerLetter"/>
      <w:lvlText w:val="(%1)"/>
      <w:lvlJc w:val="left"/>
      <w:pPr>
        <w:ind w:left="360" w:hanging="360"/>
      </w:pPr>
      <w:rPr>
        <w:rFonts w:ascii="Calibri" w:hAnsi="Calibri" w:hint="default"/>
      </w:rPr>
    </w:lvl>
    <w:lvl w:ilvl="1" w:tplc="D46CB7DC">
      <w:start w:val="1"/>
      <w:numFmt w:val="lowerLetter"/>
      <w:lvlText w:val="%2."/>
      <w:lvlJc w:val="left"/>
      <w:pPr>
        <w:ind w:left="1440" w:hanging="360"/>
      </w:pPr>
    </w:lvl>
    <w:lvl w:ilvl="2" w:tplc="218ECB0A">
      <w:start w:val="1"/>
      <w:numFmt w:val="lowerRoman"/>
      <w:lvlText w:val="%3."/>
      <w:lvlJc w:val="right"/>
      <w:pPr>
        <w:ind w:left="2160" w:hanging="180"/>
      </w:pPr>
    </w:lvl>
    <w:lvl w:ilvl="3" w:tplc="E0188BB6">
      <w:start w:val="1"/>
      <w:numFmt w:val="decimal"/>
      <w:lvlText w:val="%4."/>
      <w:lvlJc w:val="left"/>
      <w:pPr>
        <w:ind w:left="2880" w:hanging="360"/>
      </w:pPr>
    </w:lvl>
    <w:lvl w:ilvl="4" w:tplc="3FECA586">
      <w:start w:val="1"/>
      <w:numFmt w:val="lowerLetter"/>
      <w:lvlText w:val="%5."/>
      <w:lvlJc w:val="left"/>
      <w:pPr>
        <w:ind w:left="3600" w:hanging="360"/>
      </w:pPr>
    </w:lvl>
    <w:lvl w:ilvl="5" w:tplc="6E647914">
      <w:start w:val="1"/>
      <w:numFmt w:val="lowerRoman"/>
      <w:lvlText w:val="%6."/>
      <w:lvlJc w:val="right"/>
      <w:pPr>
        <w:ind w:left="4320" w:hanging="180"/>
      </w:pPr>
    </w:lvl>
    <w:lvl w:ilvl="6" w:tplc="7AFCA998">
      <w:start w:val="1"/>
      <w:numFmt w:val="decimal"/>
      <w:lvlText w:val="%7."/>
      <w:lvlJc w:val="left"/>
      <w:pPr>
        <w:ind w:left="5040" w:hanging="360"/>
      </w:pPr>
    </w:lvl>
    <w:lvl w:ilvl="7" w:tplc="AB7C5D16">
      <w:start w:val="1"/>
      <w:numFmt w:val="lowerLetter"/>
      <w:lvlText w:val="%8."/>
      <w:lvlJc w:val="left"/>
      <w:pPr>
        <w:ind w:left="5760" w:hanging="360"/>
      </w:pPr>
    </w:lvl>
    <w:lvl w:ilvl="8" w:tplc="8ADA39CC">
      <w:start w:val="1"/>
      <w:numFmt w:val="lowerRoman"/>
      <w:lvlText w:val="%9."/>
      <w:lvlJc w:val="right"/>
      <w:pPr>
        <w:ind w:left="6480" w:hanging="180"/>
      </w:pPr>
    </w:lvl>
  </w:abstractNum>
  <w:num w:numId="1" w16cid:durableId="208803956">
    <w:abstractNumId w:val="0"/>
  </w:num>
  <w:num w:numId="2" w16cid:durableId="1346907399">
    <w:abstractNumId w:val="2"/>
  </w:num>
  <w:num w:numId="3" w16cid:durableId="1386097810">
    <w:abstractNumId w:val="1"/>
  </w:num>
  <w:num w:numId="4" w16cid:durableId="7139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90E35"/>
    <w:rsid w:val="0009586D"/>
    <w:rsid w:val="000A3618"/>
    <w:rsid w:val="00156BED"/>
    <w:rsid w:val="00171FF2"/>
    <w:rsid w:val="001D4E6D"/>
    <w:rsid w:val="0022155B"/>
    <w:rsid w:val="00237F72"/>
    <w:rsid w:val="00282749"/>
    <w:rsid w:val="002A0033"/>
    <w:rsid w:val="002E388C"/>
    <w:rsid w:val="0030065E"/>
    <w:rsid w:val="003204E5"/>
    <w:rsid w:val="00326866"/>
    <w:rsid w:val="00361903"/>
    <w:rsid w:val="00361BAC"/>
    <w:rsid w:val="00367E7D"/>
    <w:rsid w:val="00395598"/>
    <w:rsid w:val="004302F8"/>
    <w:rsid w:val="00485DCF"/>
    <w:rsid w:val="00491D7E"/>
    <w:rsid w:val="00512400"/>
    <w:rsid w:val="00597C23"/>
    <w:rsid w:val="005C47A4"/>
    <w:rsid w:val="005C5572"/>
    <w:rsid w:val="005D56BB"/>
    <w:rsid w:val="00650610"/>
    <w:rsid w:val="00666689"/>
    <w:rsid w:val="00684958"/>
    <w:rsid w:val="006A3818"/>
    <w:rsid w:val="006B252E"/>
    <w:rsid w:val="00704388"/>
    <w:rsid w:val="00743CEA"/>
    <w:rsid w:val="0076613E"/>
    <w:rsid w:val="007B090E"/>
    <w:rsid w:val="007F4C58"/>
    <w:rsid w:val="009829B5"/>
    <w:rsid w:val="00A120E5"/>
    <w:rsid w:val="00A22CAC"/>
    <w:rsid w:val="00A92135"/>
    <w:rsid w:val="00AA6B64"/>
    <w:rsid w:val="00AC5FB9"/>
    <w:rsid w:val="00AD43DE"/>
    <w:rsid w:val="00B0586C"/>
    <w:rsid w:val="00B77A04"/>
    <w:rsid w:val="00BB5537"/>
    <w:rsid w:val="00C126E7"/>
    <w:rsid w:val="00C30A28"/>
    <w:rsid w:val="00C531D3"/>
    <w:rsid w:val="00C61DE3"/>
    <w:rsid w:val="00CB7D82"/>
    <w:rsid w:val="00CC3FB4"/>
    <w:rsid w:val="00CD52FA"/>
    <w:rsid w:val="00DA16DE"/>
    <w:rsid w:val="00DA398C"/>
    <w:rsid w:val="00DF2DDA"/>
    <w:rsid w:val="00DF52C0"/>
    <w:rsid w:val="00E05740"/>
    <w:rsid w:val="00EA05C8"/>
    <w:rsid w:val="00EB1D30"/>
    <w:rsid w:val="00EB41D4"/>
    <w:rsid w:val="00EC3E55"/>
    <w:rsid w:val="00EE1090"/>
    <w:rsid w:val="00F2698A"/>
    <w:rsid w:val="00F27345"/>
    <w:rsid w:val="00F46203"/>
    <w:rsid w:val="00F5098F"/>
    <w:rsid w:val="00F86671"/>
    <w:rsid w:val="00FC192F"/>
    <w:rsid w:val="04963B25"/>
    <w:rsid w:val="08BD8152"/>
    <w:rsid w:val="0B2984AC"/>
    <w:rsid w:val="1138DE03"/>
    <w:rsid w:val="16918EDC"/>
    <w:rsid w:val="179887DB"/>
    <w:rsid w:val="1A85EB6F"/>
    <w:rsid w:val="1B8DB7F2"/>
    <w:rsid w:val="206D7F16"/>
    <w:rsid w:val="2B96F21C"/>
    <w:rsid w:val="3073422D"/>
    <w:rsid w:val="312A0D6D"/>
    <w:rsid w:val="3361C6BD"/>
    <w:rsid w:val="337FD85F"/>
    <w:rsid w:val="3799EE9D"/>
    <w:rsid w:val="38E6F01D"/>
    <w:rsid w:val="38ED17A5"/>
    <w:rsid w:val="3AE57662"/>
    <w:rsid w:val="422B5BD8"/>
    <w:rsid w:val="44735199"/>
    <w:rsid w:val="46A3EBE4"/>
    <w:rsid w:val="49213293"/>
    <w:rsid w:val="4E882C11"/>
    <w:rsid w:val="506B1D4D"/>
    <w:rsid w:val="5408ACE2"/>
    <w:rsid w:val="57EB17D2"/>
    <w:rsid w:val="5B2D8C5C"/>
    <w:rsid w:val="5E496199"/>
    <w:rsid w:val="5EFFD407"/>
    <w:rsid w:val="69861462"/>
    <w:rsid w:val="6ECAB8B2"/>
    <w:rsid w:val="74A9C334"/>
    <w:rsid w:val="75074788"/>
    <w:rsid w:val="76C620C4"/>
    <w:rsid w:val="7BE26060"/>
    <w:rsid w:val="7F1E1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FB530"/>
  <w15:docId w15:val="{6755E59C-14B4-458E-B453-F77E965C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743CEA"/>
  </w:style>
  <w:style w:type="paragraph" w:styleId="Revision">
    <w:name w:val="Revision"/>
    <w:hidden/>
    <w:uiPriority w:val="99"/>
    <w:semiHidden/>
    <w:rsid w:val="00EE10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9ea8fb-1e7a-4316-b87f-a6dd3abdb610" xsi:nil="true"/>
    <_dlc_DocId xmlns="ca9ea8fb-1e7a-4316-b87f-a6dd3abdb610">EAKQP7ZW3CQH-1613487957-27160</_dlc_DocId>
    <_dlc_DocIdUrl xmlns="ca9ea8fb-1e7a-4316-b87f-a6dd3abdb610">
      <Url>https://aspriscs.sharepoint.com/sites/NewburyManorCorporate/_layouts/15/DocIdRedir.aspx?ID=EAKQP7ZW3CQH-1613487957-27160</Url>
      <Description>EAKQP7ZW3CQH-1613487957-27160</Description>
    </_dlc_DocIdUrl>
    <lcf76f155ced4ddcb4097134ff3c332f xmlns="6fee0ce0-d2f0-425a-9376-544860a6a4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082DE7-5DBA-432C-A191-F76ABA8D6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982FE-EFB1-48B4-A152-4DA85C2C7707}">
  <ds:schemaRefs>
    <ds:schemaRef ds:uri="http://schemas.microsoft.com/sharepoint/events"/>
  </ds:schemaRefs>
</ds:datastoreItem>
</file>

<file path=customXml/itemProps3.xml><?xml version="1.0" encoding="utf-8"?>
<ds:datastoreItem xmlns:ds="http://schemas.openxmlformats.org/officeDocument/2006/customXml" ds:itemID="{C3DDFDC8-10EA-45BE-9799-5CFB21415D6B}">
  <ds:schemaRefs>
    <ds:schemaRef ds:uri="http://schemas.microsoft.com/sharepoint/v3/contenttype/forms"/>
  </ds:schemaRefs>
</ds:datastoreItem>
</file>

<file path=customXml/itemProps4.xml><?xml version="1.0" encoding="utf-8"?>
<ds:datastoreItem xmlns:ds="http://schemas.openxmlformats.org/officeDocument/2006/customXml" ds:itemID="{0591E30B-A85D-4DD3-925C-C33A7EFB6C50}">
  <ds:schemaRefs>
    <ds:schemaRef ds:uri="http://schemas.microsoft.com/office/2006/metadata/properties"/>
    <ds:schemaRef ds:uri="http://schemas.microsoft.com/office/infopath/2007/PartnerControls"/>
    <ds:schemaRef ds:uri="ca9ea8fb-1e7a-4316-b87f-a6dd3abdb610"/>
    <ds:schemaRef ds:uri="6fee0ce0-d2f0-425a-9376-544860a6a4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7322</Characters>
  <Application>Microsoft Office Word</Application>
  <DocSecurity>0</DocSecurity>
  <Lines>61</Lines>
  <Paragraphs>17</Paragraphs>
  <ScaleCrop>false</ScaleCrop>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deploy</dc:creator>
  <cp:lastModifiedBy>Shelley Callomon</cp:lastModifiedBy>
  <cp:revision>4</cp:revision>
  <dcterms:created xsi:type="dcterms:W3CDTF">2026-09-21T12:25:00Z</dcterms:created>
  <dcterms:modified xsi:type="dcterms:W3CDTF">2026-09-24T08:00:00Z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_dlc_DocIdItemGuid">
    <vt:lpwstr>8d2c4b32-94a0-4515-9ce0-266420fddb6b</vt:lpwstr>
  </property>
  <property fmtid="{D5CDD505-2E9C-101B-9397-08002B2CF9AE}" pid="4" name="MediaServiceImageTags">
    <vt:lpwstr/>
  </property>
</Properties>
</file>