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9C47D" w14:textId="077EAC4D" w:rsidR="00C5559D" w:rsidRDefault="00E810BC" w:rsidP="00C5559D">
      <w:r>
        <w:rPr>
          <w:noProof/>
        </w:rPr>
        <w:drawing>
          <wp:anchor distT="0" distB="0" distL="114300" distR="114300" simplePos="0" relativeHeight="251658240" behindDoc="1" locked="0" layoutInCell="1" allowOverlap="1" wp14:anchorId="0757D708" wp14:editId="525A7B34">
            <wp:simplePos x="0" y="0"/>
            <wp:positionH relativeFrom="column">
              <wp:posOffset>-6350</wp:posOffset>
            </wp:positionH>
            <wp:positionV relativeFrom="paragraph">
              <wp:posOffset>-438150</wp:posOffset>
            </wp:positionV>
            <wp:extent cx="1137285" cy="438150"/>
            <wp:effectExtent l="0" t="0" r="5715" b="0"/>
            <wp:wrapNone/>
            <wp:docPr id="615507023"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07023" name="Picture 1" descr="A blue text on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7285" cy="438150"/>
                    </a:xfrm>
                    <a:prstGeom prst="rect">
                      <a:avLst/>
                    </a:prstGeom>
                  </pic:spPr>
                </pic:pic>
              </a:graphicData>
            </a:graphic>
          </wp:anchor>
        </w:drawing>
      </w:r>
    </w:p>
    <w:tbl>
      <w:tblPr>
        <w:tblStyle w:val="TableGrid"/>
        <w:tblW w:w="0" w:type="auto"/>
        <w:tblLook w:val="04A0" w:firstRow="1" w:lastRow="0" w:firstColumn="1" w:lastColumn="0" w:noHBand="0" w:noVBand="1"/>
      </w:tblPr>
      <w:tblGrid>
        <w:gridCol w:w="3433"/>
        <w:gridCol w:w="5583"/>
      </w:tblGrid>
      <w:tr w:rsidR="00966CCD" w14:paraId="3734D970" w14:textId="77777777">
        <w:tc>
          <w:tcPr>
            <w:tcW w:w="3510" w:type="dxa"/>
            <w:shd w:val="clear" w:color="auto" w:fill="DBE5F1" w:themeFill="accent1" w:themeFillTint="33"/>
          </w:tcPr>
          <w:p w14:paraId="4C63C859" w14:textId="77777777" w:rsidR="00C5559D" w:rsidRPr="00EF14BA" w:rsidRDefault="00C5559D">
            <w:pPr>
              <w:rPr>
                <w:b/>
              </w:rPr>
            </w:pPr>
            <w:r w:rsidRPr="00EF14BA">
              <w:rPr>
                <w:b/>
              </w:rPr>
              <w:t>Local Procedure Title</w:t>
            </w:r>
          </w:p>
        </w:tc>
        <w:tc>
          <w:tcPr>
            <w:tcW w:w="5732" w:type="dxa"/>
          </w:tcPr>
          <w:p w14:paraId="2B09EF7A" w14:textId="2CEA962F" w:rsidR="00C5559D" w:rsidRPr="00EF14BA" w:rsidRDefault="00247062">
            <w:pPr>
              <w:rPr>
                <w:b/>
              </w:rPr>
            </w:pPr>
            <w:r>
              <w:rPr>
                <w:b/>
              </w:rPr>
              <w:t xml:space="preserve">Admissions and Referrals </w:t>
            </w:r>
          </w:p>
        </w:tc>
      </w:tr>
      <w:tr w:rsidR="00966CCD" w14:paraId="023D2262" w14:textId="77777777">
        <w:tc>
          <w:tcPr>
            <w:tcW w:w="3510" w:type="dxa"/>
            <w:shd w:val="clear" w:color="auto" w:fill="DBE5F1" w:themeFill="accent1" w:themeFillTint="33"/>
          </w:tcPr>
          <w:p w14:paraId="0186676C" w14:textId="4F3339AE" w:rsidR="00C5559D" w:rsidRPr="00847CED" w:rsidRDefault="00C5559D">
            <w:pPr>
              <w:rPr>
                <w:b/>
              </w:rPr>
            </w:pPr>
            <w:r w:rsidRPr="00847CED">
              <w:rPr>
                <w:b/>
              </w:rPr>
              <w:t>S</w:t>
            </w:r>
            <w:r w:rsidR="00AE5866">
              <w:rPr>
                <w:b/>
              </w:rPr>
              <w:t>ervice</w:t>
            </w:r>
          </w:p>
        </w:tc>
        <w:tc>
          <w:tcPr>
            <w:tcW w:w="5732" w:type="dxa"/>
          </w:tcPr>
          <w:p w14:paraId="1C3A4386" w14:textId="062053E5" w:rsidR="00C5559D" w:rsidRPr="001F544A" w:rsidRDefault="00247062">
            <w:pPr>
              <w:rPr>
                <w:b/>
              </w:rPr>
            </w:pPr>
            <w:r>
              <w:rPr>
                <w:b/>
              </w:rPr>
              <w:t xml:space="preserve">Roehampton Gate School </w:t>
            </w:r>
            <w:r w:rsidR="00C231EE">
              <w:rPr>
                <w:b/>
              </w:rPr>
              <w:t>and Putney Vale</w:t>
            </w:r>
            <w:r w:rsidR="00DE1844">
              <w:rPr>
                <w:b/>
              </w:rPr>
              <w:t xml:space="preserve"> Campus</w:t>
            </w:r>
          </w:p>
        </w:tc>
      </w:tr>
      <w:tr w:rsidR="00966CCD" w14:paraId="5CB8256E" w14:textId="77777777">
        <w:tc>
          <w:tcPr>
            <w:tcW w:w="3510" w:type="dxa"/>
            <w:shd w:val="clear" w:color="auto" w:fill="DBE5F1" w:themeFill="accent1" w:themeFillTint="33"/>
          </w:tcPr>
          <w:p w14:paraId="7E5CB924" w14:textId="4537EF35" w:rsidR="00C5559D" w:rsidRPr="00847CED" w:rsidRDefault="00AE5866">
            <w:pPr>
              <w:rPr>
                <w:b/>
              </w:rPr>
            </w:pPr>
            <w:r>
              <w:rPr>
                <w:b/>
              </w:rPr>
              <w:t>A</w:t>
            </w:r>
            <w:r w:rsidR="00C5559D" w:rsidRPr="00847CED">
              <w:rPr>
                <w:b/>
              </w:rPr>
              <w:t xml:space="preserve">CS Policy </w:t>
            </w:r>
            <w:r w:rsidR="00C5559D">
              <w:rPr>
                <w:b/>
              </w:rPr>
              <w:t>number and t</w:t>
            </w:r>
            <w:r w:rsidR="00C5559D" w:rsidRPr="00847CED">
              <w:rPr>
                <w:b/>
              </w:rPr>
              <w:t>itle</w:t>
            </w:r>
          </w:p>
        </w:tc>
        <w:tc>
          <w:tcPr>
            <w:tcW w:w="5732" w:type="dxa"/>
          </w:tcPr>
          <w:p w14:paraId="463790BB" w14:textId="77777777" w:rsidR="00C5559D" w:rsidRPr="001F544A" w:rsidRDefault="005C3483" w:rsidP="00C5559D">
            <w:pPr>
              <w:rPr>
                <w:b/>
              </w:rPr>
            </w:pPr>
            <w:r>
              <w:rPr>
                <w:b/>
              </w:rPr>
              <w:t>A</w:t>
            </w:r>
            <w:r w:rsidR="00C5559D" w:rsidRPr="001F544A">
              <w:rPr>
                <w:b/>
              </w:rPr>
              <w:t xml:space="preserve">CS </w:t>
            </w:r>
            <w:r w:rsidR="00C5559D">
              <w:rPr>
                <w:b/>
              </w:rPr>
              <w:t>10 Referrals</w:t>
            </w:r>
          </w:p>
        </w:tc>
      </w:tr>
      <w:tr w:rsidR="00966CCD" w14:paraId="6C279E7C" w14:textId="77777777">
        <w:tc>
          <w:tcPr>
            <w:tcW w:w="3510" w:type="dxa"/>
            <w:shd w:val="clear" w:color="auto" w:fill="DBE5F1" w:themeFill="accent1" w:themeFillTint="33"/>
          </w:tcPr>
          <w:p w14:paraId="1F80E273" w14:textId="77777777" w:rsidR="00C5559D" w:rsidRPr="00847CED" w:rsidRDefault="00C5559D">
            <w:pPr>
              <w:rPr>
                <w:b/>
              </w:rPr>
            </w:pPr>
            <w:r>
              <w:rPr>
                <w:b/>
              </w:rPr>
              <w:t>Local Procedure template reference</w:t>
            </w:r>
          </w:p>
        </w:tc>
        <w:tc>
          <w:tcPr>
            <w:tcW w:w="5732" w:type="dxa"/>
          </w:tcPr>
          <w:p w14:paraId="2E7C286D" w14:textId="1073A258" w:rsidR="00C5559D" w:rsidRPr="001F544A" w:rsidRDefault="005C3483" w:rsidP="00C5559D">
            <w:pPr>
              <w:rPr>
                <w:b/>
              </w:rPr>
            </w:pPr>
            <w:r>
              <w:rPr>
                <w:b/>
              </w:rPr>
              <w:t>A</w:t>
            </w:r>
            <w:r w:rsidR="00C5559D" w:rsidRPr="001F544A">
              <w:rPr>
                <w:b/>
              </w:rPr>
              <w:t xml:space="preserve">CS LP </w:t>
            </w:r>
            <w:r w:rsidR="00C5559D">
              <w:rPr>
                <w:b/>
              </w:rPr>
              <w:t>10</w:t>
            </w:r>
            <w:r w:rsidR="00247062">
              <w:rPr>
                <w:b/>
              </w:rPr>
              <w:t xml:space="preserve"> and 11 </w:t>
            </w:r>
          </w:p>
        </w:tc>
      </w:tr>
      <w:tr w:rsidR="00966CCD" w14:paraId="2151DD24" w14:textId="77777777">
        <w:tc>
          <w:tcPr>
            <w:tcW w:w="3510" w:type="dxa"/>
            <w:shd w:val="clear" w:color="auto" w:fill="DBE5F1" w:themeFill="accent1" w:themeFillTint="33"/>
          </w:tcPr>
          <w:p w14:paraId="46F7E06D" w14:textId="77777777" w:rsidR="00C5559D" w:rsidRPr="00847CED" w:rsidRDefault="00C5559D">
            <w:pPr>
              <w:rPr>
                <w:b/>
              </w:rPr>
            </w:pPr>
            <w:r w:rsidRPr="00847CED">
              <w:rPr>
                <w:b/>
              </w:rPr>
              <w:t>Local Procedure date</w:t>
            </w:r>
          </w:p>
        </w:tc>
        <w:tc>
          <w:tcPr>
            <w:tcW w:w="5732" w:type="dxa"/>
          </w:tcPr>
          <w:p w14:paraId="2E69864C" w14:textId="1AB102AA" w:rsidR="00C5559D" w:rsidRDefault="008C680D">
            <w:r>
              <w:t>February</w:t>
            </w:r>
            <w:r w:rsidR="00247062">
              <w:t xml:space="preserve"> 202</w:t>
            </w:r>
            <w:r>
              <w:t>6</w:t>
            </w:r>
          </w:p>
        </w:tc>
      </w:tr>
      <w:tr w:rsidR="00966CCD" w14:paraId="7A91D61D" w14:textId="77777777">
        <w:tc>
          <w:tcPr>
            <w:tcW w:w="3510" w:type="dxa"/>
            <w:shd w:val="clear" w:color="auto" w:fill="DBE5F1" w:themeFill="accent1" w:themeFillTint="33"/>
          </w:tcPr>
          <w:p w14:paraId="5C9D6526" w14:textId="77777777" w:rsidR="00C5559D" w:rsidRPr="00847CED" w:rsidRDefault="00C5559D">
            <w:pPr>
              <w:rPr>
                <w:b/>
              </w:rPr>
            </w:pPr>
            <w:r w:rsidRPr="00847CED">
              <w:rPr>
                <w:b/>
              </w:rPr>
              <w:t>Local Procedure review date</w:t>
            </w:r>
          </w:p>
        </w:tc>
        <w:tc>
          <w:tcPr>
            <w:tcW w:w="5732" w:type="dxa"/>
          </w:tcPr>
          <w:p w14:paraId="1D3E500D" w14:textId="2F4E491A" w:rsidR="00C5559D" w:rsidRDefault="008C680D">
            <w:r>
              <w:t>February</w:t>
            </w:r>
            <w:r w:rsidR="00247062">
              <w:t xml:space="preserve"> 202</w:t>
            </w:r>
            <w:r>
              <w:t>7</w:t>
            </w:r>
          </w:p>
        </w:tc>
      </w:tr>
      <w:tr w:rsidR="00966CCD" w14:paraId="1E6418FA" w14:textId="77777777">
        <w:tc>
          <w:tcPr>
            <w:tcW w:w="3510" w:type="dxa"/>
            <w:shd w:val="clear" w:color="auto" w:fill="DBE5F1" w:themeFill="accent1" w:themeFillTint="33"/>
          </w:tcPr>
          <w:p w14:paraId="47D01D1B" w14:textId="77777777" w:rsidR="00C5559D" w:rsidRPr="00847CED" w:rsidRDefault="00C5559D">
            <w:pPr>
              <w:rPr>
                <w:b/>
              </w:rPr>
            </w:pPr>
            <w:r w:rsidRPr="00847CED">
              <w:rPr>
                <w:b/>
              </w:rPr>
              <w:t>Local Procedure Author(s)</w:t>
            </w:r>
          </w:p>
        </w:tc>
        <w:tc>
          <w:tcPr>
            <w:tcW w:w="5732" w:type="dxa"/>
          </w:tcPr>
          <w:p w14:paraId="15F97758" w14:textId="7D436FA3" w:rsidR="00C5559D" w:rsidRDefault="00247062">
            <w:r>
              <w:t xml:space="preserve">Lucia Apicella </w:t>
            </w:r>
            <w:r w:rsidR="008C680D">
              <w:t xml:space="preserve"> and Ann Mary Jose</w:t>
            </w:r>
          </w:p>
        </w:tc>
      </w:tr>
      <w:tr w:rsidR="00966CCD" w14:paraId="251E0507" w14:textId="77777777">
        <w:tc>
          <w:tcPr>
            <w:tcW w:w="3510" w:type="dxa"/>
            <w:shd w:val="clear" w:color="auto" w:fill="DBE5F1" w:themeFill="accent1" w:themeFillTint="33"/>
          </w:tcPr>
          <w:p w14:paraId="011EF688" w14:textId="77777777" w:rsidR="00C5559D" w:rsidRPr="00847CED" w:rsidRDefault="00C5559D">
            <w:pPr>
              <w:rPr>
                <w:b/>
              </w:rPr>
            </w:pPr>
            <w:r w:rsidRPr="00847CED">
              <w:rPr>
                <w:b/>
              </w:rPr>
              <w:t>Local Procedure Ratification</w:t>
            </w:r>
          </w:p>
        </w:tc>
        <w:tc>
          <w:tcPr>
            <w:tcW w:w="5732" w:type="dxa"/>
          </w:tcPr>
          <w:p w14:paraId="1BE46C5E" w14:textId="3F216F0A" w:rsidR="00C5559D" w:rsidRPr="008C0321" w:rsidRDefault="00C5559D">
            <w:pPr>
              <w:rPr>
                <w:sz w:val="20"/>
                <w:szCs w:val="20"/>
              </w:rPr>
            </w:pPr>
            <w:r w:rsidRPr="008C0321">
              <w:rPr>
                <w:sz w:val="20"/>
                <w:szCs w:val="20"/>
              </w:rPr>
              <w:t xml:space="preserve">Checked and Approved by: </w:t>
            </w:r>
            <w:r w:rsidR="0083649E" w:rsidRPr="0083649E">
              <w:rPr>
                <w:sz w:val="20"/>
                <w:szCs w:val="20"/>
              </w:rPr>
              <w:t xml:space="preserve"> Keziah Raphael                                         </w:t>
            </w:r>
            <w:r w:rsidRPr="008C0321">
              <w:rPr>
                <w:sz w:val="20"/>
                <w:szCs w:val="20"/>
              </w:rPr>
              <w:t xml:space="preserve">      </w:t>
            </w:r>
            <w:r>
              <w:rPr>
                <w:sz w:val="20"/>
                <w:szCs w:val="20"/>
              </w:rPr>
              <w:t xml:space="preserve">                               </w:t>
            </w:r>
          </w:p>
        </w:tc>
      </w:tr>
    </w:tbl>
    <w:p w14:paraId="0BB3A956" w14:textId="77777777" w:rsidR="00C5559D" w:rsidRPr="00847CED" w:rsidRDefault="00C5559D" w:rsidP="00C5559D"/>
    <w:tbl>
      <w:tblPr>
        <w:tblStyle w:val="TableGrid"/>
        <w:tblW w:w="0" w:type="auto"/>
        <w:tblLook w:val="04A0" w:firstRow="1" w:lastRow="0" w:firstColumn="1" w:lastColumn="0" w:noHBand="0" w:noVBand="1"/>
      </w:tblPr>
      <w:tblGrid>
        <w:gridCol w:w="9016"/>
      </w:tblGrid>
      <w:tr w:rsidR="001947AE" w14:paraId="2BDE5452" w14:textId="77777777" w:rsidTr="1E8365D3">
        <w:tc>
          <w:tcPr>
            <w:tcW w:w="9016" w:type="dxa"/>
            <w:hideMark/>
          </w:tcPr>
          <w:p w14:paraId="06740487" w14:textId="0B42F1D6" w:rsidR="00A843F3" w:rsidRPr="0045431A" w:rsidRDefault="0045431A" w:rsidP="00A843F3">
            <w:pPr>
              <w:pStyle w:val="ListParagraph"/>
              <w:numPr>
                <w:ilvl w:val="0"/>
                <w:numId w:val="2"/>
              </w:numPr>
              <w:ind w:left="360"/>
              <w:rPr>
                <w:bCs/>
              </w:rPr>
            </w:pPr>
            <w:r w:rsidRPr="00976B00">
              <w:rPr>
                <w:rFonts w:ascii="Tahoma" w:hAnsi="Tahoma" w:cs="Tahoma"/>
                <w:b/>
              </w:rPr>
              <w:t>Introduction</w:t>
            </w:r>
          </w:p>
        </w:tc>
      </w:tr>
      <w:tr w:rsidR="001947AE" w14:paraId="2D1EB1C6" w14:textId="77777777" w:rsidTr="1E8365D3">
        <w:tc>
          <w:tcPr>
            <w:tcW w:w="9016" w:type="dxa"/>
          </w:tcPr>
          <w:p w14:paraId="5A947EC3" w14:textId="26A6EF63" w:rsidR="004D66B1" w:rsidRDefault="004D66B1" w:rsidP="004D66B1">
            <w:pPr>
              <w:jc w:val="both"/>
              <w:rPr>
                <w:rFonts w:ascii="Tahoma" w:hAnsi="Tahoma" w:cs="Tahoma"/>
              </w:rPr>
            </w:pPr>
            <w:r w:rsidRPr="00F3397D">
              <w:rPr>
                <w:rFonts w:ascii="Tahoma" w:hAnsi="Tahoma" w:cs="Tahoma"/>
              </w:rPr>
              <w:t>This local procedure will explain and clarify the process for admission and referral to our services. All Referrals for admission to</w:t>
            </w:r>
            <w:r>
              <w:rPr>
                <w:rFonts w:ascii="Tahoma" w:hAnsi="Tahoma" w:cs="Tahoma"/>
              </w:rPr>
              <w:t xml:space="preserve"> Roehampton Gate School</w:t>
            </w:r>
            <w:r w:rsidRPr="00F3397D">
              <w:rPr>
                <w:rFonts w:ascii="Tahoma" w:hAnsi="Tahoma" w:cs="Tahoma"/>
              </w:rPr>
              <w:t xml:space="preserve"> </w:t>
            </w:r>
            <w:r w:rsidR="002C0F95">
              <w:rPr>
                <w:rFonts w:ascii="Tahoma" w:hAnsi="Tahoma" w:cs="Tahoma"/>
              </w:rPr>
              <w:t>and Putney Vale</w:t>
            </w:r>
            <w:r w:rsidR="00CF2F58">
              <w:rPr>
                <w:rFonts w:ascii="Tahoma" w:hAnsi="Tahoma" w:cs="Tahoma"/>
              </w:rPr>
              <w:t xml:space="preserve"> Campus</w:t>
            </w:r>
            <w:r w:rsidR="002C0F95">
              <w:rPr>
                <w:rFonts w:ascii="Tahoma" w:hAnsi="Tahoma" w:cs="Tahoma"/>
              </w:rPr>
              <w:t xml:space="preserve"> </w:t>
            </w:r>
            <w:r w:rsidRPr="00F3397D">
              <w:rPr>
                <w:rFonts w:ascii="Tahoma" w:hAnsi="Tahoma" w:cs="Tahoma"/>
              </w:rPr>
              <w:t>are initiated by the referral coordinator and passed onto the Leadership Team. Referrals are first screened for overall site suitability and vacancies within the range of provisions. Following detailed feedback from SLT, the Headteacher and SENCO, the school’s interest to proceed or decline is passed to the referring body.</w:t>
            </w:r>
          </w:p>
          <w:p w14:paraId="0DCFDA08" w14:textId="77777777" w:rsidR="004D66B1" w:rsidRPr="00F3397D" w:rsidRDefault="004D66B1" w:rsidP="004D66B1">
            <w:pPr>
              <w:jc w:val="both"/>
              <w:rPr>
                <w:rFonts w:ascii="Tahoma" w:hAnsi="Tahoma" w:cs="Tahoma"/>
              </w:rPr>
            </w:pPr>
          </w:p>
          <w:p w14:paraId="79EC1A8D" w14:textId="77777777" w:rsidR="004D66B1" w:rsidRDefault="004D66B1" w:rsidP="004D66B1">
            <w:pPr>
              <w:jc w:val="both"/>
              <w:rPr>
                <w:rFonts w:ascii="Tahoma" w:hAnsi="Tahoma" w:cs="Tahoma"/>
              </w:rPr>
            </w:pPr>
            <w:r w:rsidRPr="00F3397D">
              <w:rPr>
                <w:rFonts w:ascii="Tahoma" w:hAnsi="Tahoma" w:cs="Tahoma"/>
              </w:rPr>
              <w:t>Referral Coordinator will have started a Record</w:t>
            </w:r>
            <w:r w:rsidRPr="00F3397D">
              <w:rPr>
                <w:rFonts w:ascii="Tahoma" w:hAnsi="Tahoma" w:cs="Tahoma"/>
                <w:b/>
                <w:bCs/>
              </w:rPr>
              <w:t xml:space="preserve"> </w:t>
            </w:r>
            <w:r w:rsidRPr="00F3397D">
              <w:rPr>
                <w:rFonts w:ascii="Tahoma" w:hAnsi="Tahoma" w:cs="Tahoma"/>
              </w:rPr>
              <w:t xml:space="preserve">to track the information collated at every assessment stage. </w:t>
            </w:r>
          </w:p>
          <w:p w14:paraId="71C39585" w14:textId="77777777" w:rsidR="004D66B1" w:rsidRPr="00F3397D" w:rsidRDefault="004D66B1" w:rsidP="004D66B1">
            <w:pPr>
              <w:jc w:val="both"/>
              <w:rPr>
                <w:rFonts w:ascii="Tahoma" w:hAnsi="Tahoma" w:cs="Tahoma"/>
              </w:rPr>
            </w:pPr>
          </w:p>
          <w:p w14:paraId="774C0AB8" w14:textId="77777777" w:rsidR="004D66B1" w:rsidRDefault="004D66B1" w:rsidP="004D66B1">
            <w:pPr>
              <w:jc w:val="both"/>
              <w:rPr>
                <w:rFonts w:ascii="Tahoma" w:hAnsi="Tahoma" w:cs="Tahoma"/>
              </w:rPr>
            </w:pPr>
            <w:r w:rsidRPr="00F3397D">
              <w:rPr>
                <w:rFonts w:ascii="Tahoma" w:hAnsi="Tahoma" w:cs="Tahoma"/>
              </w:rPr>
              <w:t xml:space="preserve">The referral process from start to finish should be transparent to all involved and completed within an efficient and timely manner. </w:t>
            </w:r>
          </w:p>
          <w:p w14:paraId="3B443B57" w14:textId="77777777" w:rsidR="004D66B1" w:rsidRPr="00F3397D" w:rsidRDefault="004D66B1" w:rsidP="004D66B1">
            <w:pPr>
              <w:jc w:val="both"/>
              <w:rPr>
                <w:rFonts w:ascii="Tahoma" w:hAnsi="Tahoma" w:cs="Tahoma"/>
              </w:rPr>
            </w:pPr>
          </w:p>
          <w:p w14:paraId="43A5543E" w14:textId="77777777" w:rsidR="004D66B1" w:rsidRPr="00F3397D" w:rsidRDefault="004D66B1" w:rsidP="004D66B1">
            <w:pPr>
              <w:jc w:val="both"/>
              <w:rPr>
                <w:rFonts w:ascii="Tahoma" w:hAnsi="Tahoma" w:cs="Tahoma"/>
              </w:rPr>
            </w:pPr>
            <w:r w:rsidRPr="00F3397D">
              <w:rPr>
                <w:rFonts w:ascii="Tahoma" w:hAnsi="Tahoma" w:cs="Tahoma"/>
              </w:rPr>
              <w:t xml:space="preserve">The needs of both the child being referred and the existing cohort should be at the centre of all admissions decisions. </w:t>
            </w:r>
          </w:p>
          <w:p w14:paraId="6F47B604" w14:textId="77777777" w:rsidR="004D66B1" w:rsidRDefault="004D66B1" w:rsidP="004D66B1">
            <w:pPr>
              <w:pStyle w:val="ListParagraph"/>
              <w:ind w:left="318" w:hanging="318"/>
            </w:pPr>
          </w:p>
        </w:tc>
      </w:tr>
      <w:tr w:rsidR="001947AE" w14:paraId="6E4E9F2B" w14:textId="77777777" w:rsidTr="1E8365D3">
        <w:tc>
          <w:tcPr>
            <w:tcW w:w="9016" w:type="dxa"/>
            <w:hideMark/>
          </w:tcPr>
          <w:p w14:paraId="0D96D3F9" w14:textId="41B480A7" w:rsidR="004D66B1" w:rsidRDefault="007905BC" w:rsidP="004D66B1">
            <w:pPr>
              <w:pStyle w:val="ListParagraph"/>
              <w:numPr>
                <w:ilvl w:val="0"/>
                <w:numId w:val="2"/>
              </w:numPr>
              <w:ind w:left="360"/>
              <w:rPr>
                <w:b/>
              </w:rPr>
            </w:pPr>
            <w:r w:rsidRPr="00C65551">
              <w:rPr>
                <w:rFonts w:ascii="Tahoma" w:hAnsi="Tahoma" w:cs="Tahoma"/>
                <w:b/>
                <w:bCs/>
              </w:rPr>
              <w:t xml:space="preserve">Referral process </w:t>
            </w:r>
            <w:r w:rsidRPr="00976B00">
              <w:rPr>
                <w:rFonts w:ascii="Tahoma" w:hAnsi="Tahoma" w:cs="Tahoma"/>
                <w:b/>
                <w:bCs/>
              </w:rPr>
              <w:t>and associated time frames</w:t>
            </w:r>
          </w:p>
        </w:tc>
      </w:tr>
      <w:tr w:rsidR="001947AE" w14:paraId="0473FA4F" w14:textId="77777777" w:rsidTr="1E8365D3">
        <w:tc>
          <w:tcPr>
            <w:tcW w:w="9016" w:type="dxa"/>
          </w:tcPr>
          <w:p w14:paraId="19479F7C" w14:textId="77777777" w:rsidR="005613DC" w:rsidRPr="00F3397D" w:rsidRDefault="005613DC" w:rsidP="005613DC">
            <w:pPr>
              <w:jc w:val="both"/>
              <w:rPr>
                <w:rFonts w:ascii="Tahoma" w:hAnsi="Tahoma" w:cs="Tahoma"/>
              </w:rPr>
            </w:pPr>
          </w:p>
          <w:p w14:paraId="6BBE1111" w14:textId="6C3E070D" w:rsidR="005613DC" w:rsidRPr="00F3397D" w:rsidRDefault="005613DC" w:rsidP="005613DC">
            <w:pPr>
              <w:pStyle w:val="ListParagraph"/>
              <w:numPr>
                <w:ilvl w:val="0"/>
                <w:numId w:val="3"/>
              </w:numPr>
              <w:jc w:val="both"/>
              <w:rPr>
                <w:rFonts w:ascii="Tahoma" w:hAnsi="Tahoma" w:cs="Tahoma"/>
              </w:rPr>
            </w:pPr>
            <w:r w:rsidRPr="00F3397D">
              <w:rPr>
                <w:rFonts w:ascii="Tahoma" w:hAnsi="Tahoma" w:cs="Tahoma"/>
              </w:rPr>
              <w:t>Local Authority Referral is made to the referrals coordinator and is initially reviewed by them</w:t>
            </w:r>
            <w:r w:rsidRPr="005829AC">
              <w:rPr>
                <w:rFonts w:ascii="Tahoma" w:hAnsi="Tahoma" w:cs="Tahoma"/>
              </w:rPr>
              <w:t xml:space="preserve">. </w:t>
            </w:r>
            <w:r w:rsidRPr="00F3397D">
              <w:rPr>
                <w:rFonts w:ascii="Tahoma" w:hAnsi="Tahoma" w:cs="Tahoma"/>
              </w:rPr>
              <w:t xml:space="preserve">If deemed to be appropriate within the remit of </w:t>
            </w:r>
            <w:r>
              <w:rPr>
                <w:rFonts w:ascii="Tahoma" w:hAnsi="Tahoma" w:cs="Tahoma"/>
              </w:rPr>
              <w:t>RGS</w:t>
            </w:r>
            <w:r w:rsidR="00147014">
              <w:rPr>
                <w:rFonts w:ascii="Tahoma" w:hAnsi="Tahoma" w:cs="Tahoma"/>
              </w:rPr>
              <w:t xml:space="preserve"> and PVC</w:t>
            </w:r>
            <w:r w:rsidRPr="00F3397D">
              <w:rPr>
                <w:rFonts w:ascii="Tahoma" w:hAnsi="Tahoma" w:cs="Tahoma"/>
              </w:rPr>
              <w:t xml:space="preserve">, the referral and all supporting documentation is passed to the Headteacher and SLT. This will be completed within </w:t>
            </w:r>
            <w:r>
              <w:rPr>
                <w:rFonts w:ascii="Tahoma" w:hAnsi="Tahoma" w:cs="Tahoma"/>
              </w:rPr>
              <w:t>48</w:t>
            </w:r>
            <w:r w:rsidRPr="00F3397D">
              <w:rPr>
                <w:rFonts w:ascii="Tahoma" w:hAnsi="Tahoma" w:cs="Tahoma"/>
              </w:rPr>
              <w:t xml:space="preserve"> hrs of initial referral. </w:t>
            </w:r>
          </w:p>
          <w:p w14:paraId="75A19BC7" w14:textId="77777777" w:rsidR="005613DC" w:rsidRPr="00F3397D" w:rsidRDefault="005613DC" w:rsidP="005613DC">
            <w:pPr>
              <w:pStyle w:val="ListParagraph"/>
              <w:jc w:val="both"/>
              <w:rPr>
                <w:rFonts w:ascii="Tahoma" w:hAnsi="Tahoma" w:cs="Tahoma"/>
              </w:rPr>
            </w:pPr>
          </w:p>
          <w:p w14:paraId="2565544D" w14:textId="44F8C47B" w:rsidR="005613DC" w:rsidRPr="00F00054" w:rsidRDefault="005613DC">
            <w:pPr>
              <w:pStyle w:val="ListParagraph"/>
              <w:numPr>
                <w:ilvl w:val="0"/>
                <w:numId w:val="3"/>
              </w:numPr>
              <w:jc w:val="both"/>
              <w:rPr>
                <w:rFonts w:ascii="Tahoma" w:hAnsi="Tahoma" w:cs="Tahoma"/>
              </w:rPr>
            </w:pPr>
            <w:r w:rsidRPr="00F00054">
              <w:rPr>
                <w:rFonts w:ascii="Tahoma" w:hAnsi="Tahoma" w:cs="Tahoma"/>
              </w:rPr>
              <w:t>The schools SLT, will complete a Referral Record to indicate whether needs could potentially be met at the school. The Headteacher will confirm if the assessment process can be initiated. Email notification of this will be sent back to the Referral Coordinator.</w:t>
            </w:r>
            <w:r w:rsidR="00213EE2" w:rsidRPr="00F00054">
              <w:rPr>
                <w:rFonts w:ascii="Tahoma" w:hAnsi="Tahoma" w:cs="Tahoma"/>
              </w:rPr>
              <w:t xml:space="preserve"> </w:t>
            </w:r>
          </w:p>
          <w:p w14:paraId="483E4D14" w14:textId="77777777" w:rsidR="005613DC" w:rsidRPr="00F3397D" w:rsidRDefault="005613DC" w:rsidP="005613DC">
            <w:pPr>
              <w:pStyle w:val="ListParagraph"/>
              <w:jc w:val="both"/>
              <w:rPr>
                <w:rFonts w:ascii="Tahoma" w:hAnsi="Tahoma" w:cs="Tahoma"/>
              </w:rPr>
            </w:pPr>
          </w:p>
          <w:p w14:paraId="191FC3B9" w14:textId="2C6C511F" w:rsidR="005613DC" w:rsidRPr="00F3397D" w:rsidRDefault="005613DC" w:rsidP="005613DC">
            <w:pPr>
              <w:pStyle w:val="ListParagraph"/>
              <w:numPr>
                <w:ilvl w:val="0"/>
                <w:numId w:val="3"/>
              </w:numPr>
              <w:jc w:val="both"/>
              <w:rPr>
                <w:rFonts w:ascii="Tahoma" w:hAnsi="Tahoma" w:cs="Tahoma"/>
              </w:rPr>
            </w:pPr>
            <w:r w:rsidRPr="00F3397D">
              <w:rPr>
                <w:rFonts w:ascii="Tahoma" w:hAnsi="Tahoma" w:cs="Tahoma"/>
              </w:rPr>
              <w:t>Assessment –Visit</w:t>
            </w:r>
            <w:r w:rsidR="00C7466C">
              <w:rPr>
                <w:rFonts w:ascii="Tahoma" w:hAnsi="Tahoma" w:cs="Tahoma"/>
              </w:rPr>
              <w:t xml:space="preserve"> to the school</w:t>
            </w:r>
            <w:r w:rsidRPr="00F3397D">
              <w:rPr>
                <w:rFonts w:ascii="Tahoma" w:hAnsi="Tahoma" w:cs="Tahoma"/>
              </w:rPr>
              <w:t xml:space="preserve"> –</w:t>
            </w:r>
            <w:r w:rsidR="00731BA9">
              <w:rPr>
                <w:rFonts w:ascii="Tahoma" w:hAnsi="Tahoma" w:cs="Tahoma"/>
              </w:rPr>
              <w:t>the Referrals co-ordinator</w:t>
            </w:r>
            <w:r w:rsidRPr="00F3397D">
              <w:rPr>
                <w:rFonts w:ascii="Tahoma" w:hAnsi="Tahoma" w:cs="Tahoma"/>
              </w:rPr>
              <w:t xml:space="preserve"> will arrange an ‘Assessment’ visit to current placement. This will take place with a member of SLT, or a member of the Pastoral Team where appropriate. The meeting will allow school staff to discuss and carry out </w:t>
            </w:r>
            <w:r w:rsidR="00103940">
              <w:rPr>
                <w:rFonts w:ascii="Tahoma" w:hAnsi="Tahoma" w:cs="Tahoma"/>
              </w:rPr>
              <w:t>assessments</w:t>
            </w:r>
            <w:r w:rsidR="00E90610">
              <w:rPr>
                <w:rFonts w:ascii="Tahoma" w:hAnsi="Tahoma" w:cs="Tahoma"/>
              </w:rPr>
              <w:t xml:space="preserve"> through observation and conversation</w:t>
            </w:r>
            <w:r w:rsidR="000B0CFA">
              <w:rPr>
                <w:rFonts w:ascii="Tahoma" w:hAnsi="Tahoma" w:cs="Tahoma"/>
              </w:rPr>
              <w:t xml:space="preserve"> with the pupil</w:t>
            </w:r>
            <w:r w:rsidRPr="00F3397D">
              <w:rPr>
                <w:rFonts w:ascii="Tahoma" w:hAnsi="Tahoma" w:cs="Tahoma"/>
              </w:rPr>
              <w:t>.</w:t>
            </w:r>
            <w:r w:rsidR="00D032AA">
              <w:rPr>
                <w:rFonts w:ascii="Tahoma" w:hAnsi="Tahoma" w:cs="Tahoma"/>
              </w:rPr>
              <w:t xml:space="preserve"> </w:t>
            </w:r>
            <w:r w:rsidRPr="00F3397D">
              <w:rPr>
                <w:rFonts w:ascii="Tahoma" w:hAnsi="Tahoma" w:cs="Tahoma"/>
              </w:rPr>
              <w:t xml:space="preserve"> The Assessment record will be completed and discussed with SLT after the visit to decide on next steps: Further Internal visit, offer of placement or decline. The outcome and Assessment Record will be emailed to the Referral coordinator who will advise the Local Authority.</w:t>
            </w:r>
          </w:p>
          <w:p w14:paraId="72A4404F" w14:textId="77777777" w:rsidR="005613DC" w:rsidRPr="00F3397D" w:rsidRDefault="005613DC" w:rsidP="005613DC">
            <w:pPr>
              <w:pStyle w:val="ListParagraph"/>
              <w:rPr>
                <w:rFonts w:ascii="Tahoma" w:hAnsi="Tahoma" w:cs="Tahoma"/>
              </w:rPr>
            </w:pPr>
          </w:p>
          <w:p w14:paraId="26F64746" w14:textId="77777777" w:rsidR="005613DC" w:rsidRPr="00D84F29" w:rsidRDefault="005613DC" w:rsidP="00D84F29">
            <w:pPr>
              <w:rPr>
                <w:rFonts w:ascii="Tahoma" w:hAnsi="Tahoma" w:cs="Tahoma"/>
              </w:rPr>
            </w:pPr>
          </w:p>
          <w:p w14:paraId="51190CC3" w14:textId="77777777" w:rsidR="005613DC" w:rsidRPr="00F3397D" w:rsidRDefault="005613DC" w:rsidP="005613DC">
            <w:pPr>
              <w:pStyle w:val="ListParagraph"/>
              <w:numPr>
                <w:ilvl w:val="0"/>
                <w:numId w:val="3"/>
              </w:numPr>
              <w:jc w:val="both"/>
              <w:rPr>
                <w:rFonts w:ascii="Tahoma" w:hAnsi="Tahoma" w:cs="Tahoma"/>
              </w:rPr>
            </w:pPr>
            <w:r w:rsidRPr="00F3397D">
              <w:rPr>
                <w:rFonts w:ascii="Tahoma" w:hAnsi="Tahoma" w:cs="Tahoma"/>
              </w:rPr>
              <w:lastRenderedPageBreak/>
              <w:t xml:space="preserve">Offer of placement – Headteacher to confirm via email to referral coordinator that offer is to be made and the fee required. Referral coordinator will draw and send offer to Local Authority. </w:t>
            </w:r>
          </w:p>
          <w:p w14:paraId="490B87DB" w14:textId="77777777" w:rsidR="005613DC" w:rsidRPr="00F3397D" w:rsidRDefault="005613DC" w:rsidP="005613DC">
            <w:pPr>
              <w:pStyle w:val="ListParagraph"/>
              <w:rPr>
                <w:rFonts w:ascii="Tahoma" w:hAnsi="Tahoma" w:cs="Tahoma"/>
              </w:rPr>
            </w:pPr>
          </w:p>
          <w:p w14:paraId="5A67AF6E" w14:textId="77777777" w:rsidR="005613DC" w:rsidRPr="00F3397D" w:rsidRDefault="005613DC" w:rsidP="005613DC">
            <w:pPr>
              <w:pStyle w:val="ListParagraph"/>
              <w:numPr>
                <w:ilvl w:val="0"/>
                <w:numId w:val="3"/>
              </w:numPr>
              <w:jc w:val="both"/>
              <w:rPr>
                <w:rFonts w:ascii="Tahoma" w:hAnsi="Tahoma" w:cs="Tahoma"/>
              </w:rPr>
            </w:pPr>
            <w:r w:rsidRPr="00F3397D">
              <w:rPr>
                <w:rFonts w:ascii="Tahoma" w:hAnsi="Tahoma" w:cs="Tahoma"/>
              </w:rPr>
              <w:t>Decline – Headteacher to submit detailed reason for decline to referral coordinator who will advise Local Authority</w:t>
            </w:r>
          </w:p>
          <w:p w14:paraId="56C1E4C1" w14:textId="77777777" w:rsidR="005613DC" w:rsidRPr="00F3397D" w:rsidRDefault="005613DC" w:rsidP="005613DC">
            <w:pPr>
              <w:jc w:val="both"/>
              <w:rPr>
                <w:rFonts w:ascii="Tahoma" w:hAnsi="Tahoma" w:cs="Tahoma"/>
              </w:rPr>
            </w:pPr>
          </w:p>
          <w:p w14:paraId="67719920" w14:textId="77777777" w:rsidR="005613DC" w:rsidRPr="00F3397D" w:rsidRDefault="005613DC" w:rsidP="005613DC">
            <w:pPr>
              <w:pStyle w:val="ListParagraph"/>
              <w:numPr>
                <w:ilvl w:val="0"/>
                <w:numId w:val="3"/>
              </w:numPr>
              <w:jc w:val="both"/>
              <w:rPr>
                <w:rFonts w:ascii="Tahoma" w:hAnsi="Tahoma" w:cs="Tahoma"/>
              </w:rPr>
            </w:pPr>
            <w:r w:rsidRPr="00F3397D">
              <w:rPr>
                <w:rFonts w:ascii="Tahoma" w:hAnsi="Tahoma" w:cs="Tahoma"/>
              </w:rPr>
              <w:t xml:space="preserve">Tribunal - Some places require evidence to be given at an Educational Tribunal Court. This evidence will be presented by the assessor leading the case and attendance can only occur during term time and with a suitable amount of notice being given. Requests must be made by legal teams by email and a full court bundle sent to the assessor at least 2 weeks prior to the Tribunal court occurring. </w:t>
            </w:r>
          </w:p>
          <w:p w14:paraId="17ED44C5" w14:textId="2FBA87A0" w:rsidR="005613DC" w:rsidRDefault="005613DC" w:rsidP="005613DC">
            <w:pPr>
              <w:pStyle w:val="ListParagraph"/>
              <w:ind w:left="0"/>
            </w:pPr>
          </w:p>
        </w:tc>
      </w:tr>
      <w:tr w:rsidR="001947AE" w14:paraId="3BBF0029" w14:textId="77777777" w:rsidTr="1E8365D3">
        <w:tc>
          <w:tcPr>
            <w:tcW w:w="9016" w:type="dxa"/>
            <w:hideMark/>
          </w:tcPr>
          <w:p w14:paraId="705659C6" w14:textId="4DF124AD" w:rsidR="005613DC" w:rsidRDefault="00AE540D" w:rsidP="005613DC">
            <w:pPr>
              <w:pStyle w:val="ListParagraph"/>
              <w:numPr>
                <w:ilvl w:val="0"/>
                <w:numId w:val="2"/>
              </w:numPr>
              <w:ind w:left="360"/>
              <w:rPr>
                <w:b/>
              </w:rPr>
            </w:pPr>
            <w:r w:rsidRPr="00976B00">
              <w:rPr>
                <w:rFonts w:ascii="Tahoma" w:hAnsi="Tahoma" w:cs="Tahoma"/>
                <w:b/>
              </w:rPr>
              <w:lastRenderedPageBreak/>
              <w:t>Criteria for admission</w:t>
            </w:r>
          </w:p>
        </w:tc>
      </w:tr>
      <w:tr w:rsidR="001947AE" w14:paraId="727D9268" w14:textId="77777777" w:rsidTr="1E8365D3">
        <w:tc>
          <w:tcPr>
            <w:tcW w:w="9016" w:type="dxa"/>
          </w:tcPr>
          <w:p w14:paraId="354D915F" w14:textId="77777777" w:rsidR="005613DC" w:rsidRDefault="005613DC" w:rsidP="005613DC">
            <w:pPr>
              <w:pStyle w:val="ListParagraph"/>
              <w:ind w:left="318" w:hanging="318"/>
            </w:pPr>
          </w:p>
          <w:p w14:paraId="1E3D6331" w14:textId="77777777" w:rsidR="0007664A" w:rsidRDefault="0007664A" w:rsidP="0007664A">
            <w:pPr>
              <w:jc w:val="both"/>
              <w:rPr>
                <w:rFonts w:ascii="Tahoma" w:hAnsi="Tahoma" w:cs="Tahoma"/>
              </w:rPr>
            </w:pPr>
            <w:r w:rsidRPr="00976B00">
              <w:rPr>
                <w:rFonts w:ascii="Tahoma" w:hAnsi="Tahoma" w:cs="Tahoma"/>
              </w:rPr>
              <w:t>All young people must meet the criteria set out in the school prospectus for the service offering admission.</w:t>
            </w:r>
          </w:p>
          <w:p w14:paraId="34131B3B" w14:textId="77777777" w:rsidR="0007664A" w:rsidRDefault="0007664A" w:rsidP="0007664A">
            <w:pPr>
              <w:jc w:val="both"/>
              <w:rPr>
                <w:rFonts w:ascii="Tahoma" w:hAnsi="Tahoma" w:cs="Tahoma"/>
              </w:rPr>
            </w:pPr>
          </w:p>
          <w:p w14:paraId="5C086466" w14:textId="77777777" w:rsidR="0007664A" w:rsidRPr="00976B00" w:rsidRDefault="0007664A" w:rsidP="0007664A">
            <w:pPr>
              <w:jc w:val="both"/>
              <w:rPr>
                <w:rFonts w:ascii="Tahoma" w:hAnsi="Tahoma" w:cs="Tahoma"/>
              </w:rPr>
            </w:pPr>
            <w:r>
              <w:rPr>
                <w:rFonts w:ascii="Tahoma" w:hAnsi="Tahoma" w:cs="Tahoma"/>
              </w:rPr>
              <w:t xml:space="preserve">Suitability for admission will also be decided upon based on the needs of not only the young person being referred but also the current cohort within the school and the potential impact that admission could have on their well-being and progress. </w:t>
            </w:r>
          </w:p>
          <w:p w14:paraId="49007F36" w14:textId="77777777" w:rsidR="0007664A" w:rsidRPr="00976B00" w:rsidRDefault="0007664A" w:rsidP="0007664A">
            <w:pPr>
              <w:jc w:val="both"/>
              <w:rPr>
                <w:rFonts w:ascii="Tahoma" w:hAnsi="Tahoma" w:cs="Tahoma"/>
              </w:rPr>
            </w:pPr>
          </w:p>
          <w:p w14:paraId="331D1282" w14:textId="77777777" w:rsidR="0007664A" w:rsidRPr="00976B00" w:rsidRDefault="0007664A" w:rsidP="0007664A">
            <w:pPr>
              <w:jc w:val="both"/>
              <w:rPr>
                <w:rFonts w:ascii="Tahoma" w:hAnsi="Tahoma" w:cs="Tahoma"/>
              </w:rPr>
            </w:pPr>
            <w:r w:rsidRPr="00976B00">
              <w:rPr>
                <w:rFonts w:ascii="Tahoma" w:hAnsi="Tahoma" w:cs="Tahoma"/>
              </w:rPr>
              <w:t xml:space="preserve">History of extreme violence, aggression or arson resulting in a criminal conviction, diagnosis of primary drug or alcohol dependency will not be considered for admission. </w:t>
            </w:r>
          </w:p>
          <w:p w14:paraId="3CA843CA" w14:textId="77777777" w:rsidR="0007664A" w:rsidRDefault="0007664A" w:rsidP="00AE540D"/>
          <w:p w14:paraId="2B72E9BC" w14:textId="77777777" w:rsidR="0007664A" w:rsidRDefault="0007664A" w:rsidP="005613DC">
            <w:pPr>
              <w:pStyle w:val="ListParagraph"/>
              <w:ind w:left="318" w:hanging="318"/>
            </w:pPr>
          </w:p>
        </w:tc>
      </w:tr>
      <w:tr w:rsidR="001947AE" w14:paraId="39314270" w14:textId="77777777" w:rsidTr="1E8365D3">
        <w:tc>
          <w:tcPr>
            <w:tcW w:w="9016" w:type="dxa"/>
            <w:hideMark/>
          </w:tcPr>
          <w:p w14:paraId="56669A10" w14:textId="49B99C39" w:rsidR="005613DC" w:rsidRDefault="00851093" w:rsidP="005613DC">
            <w:pPr>
              <w:pStyle w:val="ListParagraph"/>
              <w:numPr>
                <w:ilvl w:val="0"/>
                <w:numId w:val="2"/>
              </w:numPr>
              <w:ind w:left="360"/>
              <w:rPr>
                <w:b/>
              </w:rPr>
            </w:pPr>
            <w:r w:rsidRPr="00976B00">
              <w:rPr>
                <w:rFonts w:ascii="Tahoma" w:hAnsi="Tahoma" w:cs="Tahoma"/>
                <w:b/>
                <w:bCs/>
              </w:rPr>
              <w:t xml:space="preserve">Admission </w:t>
            </w:r>
            <w:r>
              <w:rPr>
                <w:rFonts w:ascii="Tahoma" w:hAnsi="Tahoma" w:cs="Tahoma"/>
                <w:b/>
                <w:bCs/>
              </w:rPr>
              <w:t>procedure</w:t>
            </w:r>
            <w:r w:rsidR="00DE4C0C">
              <w:rPr>
                <w:rFonts w:ascii="Tahoma" w:hAnsi="Tahoma" w:cs="Tahoma"/>
                <w:b/>
                <w:bCs/>
              </w:rPr>
              <w:t>- Baseline and Induction</w:t>
            </w:r>
          </w:p>
        </w:tc>
      </w:tr>
      <w:tr w:rsidR="001947AE" w14:paraId="0658D949" w14:textId="77777777" w:rsidTr="1E8365D3">
        <w:tc>
          <w:tcPr>
            <w:tcW w:w="9016" w:type="dxa"/>
          </w:tcPr>
          <w:p w14:paraId="3E9762F2" w14:textId="77777777" w:rsidR="00873CA1" w:rsidRPr="00F3397D" w:rsidRDefault="00873CA1" w:rsidP="00873CA1">
            <w:pPr>
              <w:pStyle w:val="ListParagraph"/>
              <w:ind w:left="0"/>
              <w:rPr>
                <w:rFonts w:ascii="Tahoma" w:hAnsi="Tahoma" w:cs="Tahoma"/>
              </w:rPr>
            </w:pPr>
          </w:p>
          <w:p w14:paraId="50BBBF65" w14:textId="13AF7852" w:rsidR="00873CA1" w:rsidRPr="00F3397D" w:rsidRDefault="00873CA1" w:rsidP="00873CA1">
            <w:pPr>
              <w:pStyle w:val="ListParagraph"/>
              <w:ind w:left="0"/>
              <w:rPr>
                <w:rFonts w:ascii="Tahoma" w:hAnsi="Tahoma" w:cs="Tahoma"/>
              </w:rPr>
            </w:pPr>
            <w:r w:rsidRPr="00F3397D">
              <w:rPr>
                <w:rFonts w:ascii="Tahoma" w:hAnsi="Tahoma" w:cs="Tahoma"/>
              </w:rPr>
              <w:t xml:space="preserve">Following an acceptance of a placement offer by a placing authority, the </w:t>
            </w:r>
            <w:r w:rsidR="002C44AA">
              <w:rPr>
                <w:rFonts w:ascii="Tahoma" w:hAnsi="Tahoma" w:cs="Tahoma"/>
              </w:rPr>
              <w:t>Assistant Head</w:t>
            </w:r>
            <w:r w:rsidRPr="00F3397D">
              <w:rPr>
                <w:rFonts w:ascii="Tahoma" w:hAnsi="Tahoma" w:cs="Tahoma"/>
              </w:rPr>
              <w:t xml:space="preserve"> will confirm the start date to the referral coordinator </w:t>
            </w:r>
            <w:r w:rsidR="002C44AA">
              <w:rPr>
                <w:rFonts w:ascii="Tahoma" w:hAnsi="Tahoma" w:cs="Tahoma"/>
              </w:rPr>
              <w:t>with approval from the</w:t>
            </w:r>
            <w:r w:rsidR="00B3662A">
              <w:rPr>
                <w:rFonts w:ascii="Tahoma" w:hAnsi="Tahoma" w:cs="Tahoma"/>
              </w:rPr>
              <w:t xml:space="preserve"> Headteacher</w:t>
            </w:r>
            <w:r w:rsidRPr="00F3397D">
              <w:rPr>
                <w:rFonts w:ascii="Tahoma" w:hAnsi="Tahoma" w:cs="Tahoma"/>
              </w:rPr>
              <w:t xml:space="preserve">. The referral coordinator will confirm the date with the Local Authority. </w:t>
            </w:r>
          </w:p>
          <w:p w14:paraId="4DAA6B98" w14:textId="77777777" w:rsidR="00873CA1" w:rsidRPr="00F3397D" w:rsidRDefault="00873CA1" w:rsidP="00873CA1">
            <w:pPr>
              <w:pStyle w:val="ListParagraph"/>
              <w:ind w:left="0"/>
              <w:rPr>
                <w:rFonts w:ascii="Tahoma" w:hAnsi="Tahoma" w:cs="Tahoma"/>
              </w:rPr>
            </w:pPr>
          </w:p>
          <w:p w14:paraId="1DEE8142" w14:textId="77777777" w:rsidR="00873CA1" w:rsidRPr="00F3397D" w:rsidRDefault="00873CA1" w:rsidP="00873CA1">
            <w:pPr>
              <w:pStyle w:val="ListParagraph"/>
              <w:ind w:left="0"/>
              <w:rPr>
                <w:rFonts w:ascii="Tahoma" w:hAnsi="Tahoma" w:cs="Tahoma"/>
              </w:rPr>
            </w:pPr>
            <w:r w:rsidRPr="00F3397D">
              <w:rPr>
                <w:rFonts w:ascii="Tahoma" w:hAnsi="Tahoma" w:cs="Tahoma"/>
              </w:rPr>
              <w:t xml:space="preserve">All checks to be completed in terms of information on the young person. This includes medical information, NHS health care plans (where required), details of Social Workers (where required), latest Annual Review and any subsequent CIN/CP plans that may exist. </w:t>
            </w:r>
          </w:p>
          <w:p w14:paraId="61E18F0D" w14:textId="77777777" w:rsidR="00873CA1" w:rsidRPr="00F3397D" w:rsidRDefault="00873CA1" w:rsidP="00873CA1">
            <w:pPr>
              <w:pStyle w:val="ListParagraph"/>
              <w:ind w:left="0"/>
              <w:rPr>
                <w:rFonts w:ascii="Tahoma" w:hAnsi="Tahoma" w:cs="Tahoma"/>
              </w:rPr>
            </w:pPr>
          </w:p>
          <w:p w14:paraId="2539C9E7" w14:textId="08EA220B" w:rsidR="00873CA1" w:rsidRPr="00F3397D" w:rsidRDefault="00873CA1" w:rsidP="00873CA1">
            <w:pPr>
              <w:pStyle w:val="ListParagraph"/>
              <w:ind w:left="0"/>
              <w:rPr>
                <w:rFonts w:ascii="Tahoma" w:hAnsi="Tahoma" w:cs="Tahoma"/>
              </w:rPr>
            </w:pPr>
            <w:r w:rsidRPr="00F3397D">
              <w:rPr>
                <w:rFonts w:ascii="Tahoma" w:hAnsi="Tahoma" w:cs="Tahoma"/>
              </w:rPr>
              <w:t xml:space="preserve">A placement will not be able to start until </w:t>
            </w:r>
            <w:r w:rsidR="006D7031" w:rsidRPr="00F3397D">
              <w:rPr>
                <w:rFonts w:ascii="Tahoma" w:hAnsi="Tahoma" w:cs="Tahoma"/>
              </w:rPr>
              <w:t>all</w:t>
            </w:r>
            <w:r w:rsidRPr="00F3397D">
              <w:rPr>
                <w:rFonts w:ascii="Tahoma" w:hAnsi="Tahoma" w:cs="Tahoma"/>
              </w:rPr>
              <w:t xml:space="preserve"> the points within the admissions checklist are covered. </w:t>
            </w:r>
          </w:p>
          <w:p w14:paraId="35037723" w14:textId="77777777" w:rsidR="00873CA1" w:rsidRPr="00F3397D" w:rsidRDefault="00873CA1" w:rsidP="00873CA1">
            <w:pPr>
              <w:pStyle w:val="ListParagraph"/>
              <w:ind w:left="0"/>
              <w:rPr>
                <w:rFonts w:ascii="Tahoma" w:hAnsi="Tahoma" w:cs="Tahoma"/>
              </w:rPr>
            </w:pPr>
          </w:p>
          <w:p w14:paraId="3090B14F" w14:textId="1563F619" w:rsidR="00E4152A" w:rsidRDefault="00873CA1" w:rsidP="00873CA1">
            <w:pPr>
              <w:pStyle w:val="ListParagraph"/>
              <w:ind w:left="0"/>
              <w:rPr>
                <w:rFonts w:ascii="Tahoma" w:hAnsi="Tahoma" w:cs="Tahoma"/>
              </w:rPr>
            </w:pPr>
            <w:r w:rsidRPr="00F3397D">
              <w:rPr>
                <w:rFonts w:ascii="Tahoma" w:hAnsi="Tahoma" w:cs="Tahoma"/>
              </w:rPr>
              <w:t xml:space="preserve">The </w:t>
            </w:r>
            <w:r w:rsidR="006F0829">
              <w:rPr>
                <w:rFonts w:ascii="Tahoma" w:hAnsi="Tahoma" w:cs="Tahoma"/>
              </w:rPr>
              <w:t>Assistant Head</w:t>
            </w:r>
            <w:r w:rsidR="00416A9E">
              <w:rPr>
                <w:rFonts w:ascii="Tahoma" w:hAnsi="Tahoma" w:cs="Tahoma"/>
              </w:rPr>
              <w:t>teacher</w:t>
            </w:r>
            <w:r w:rsidRPr="00F3397D">
              <w:rPr>
                <w:rFonts w:ascii="Tahoma" w:hAnsi="Tahoma" w:cs="Tahoma"/>
              </w:rPr>
              <w:t xml:space="preserve"> will </w:t>
            </w:r>
            <w:r w:rsidR="00C54B0F" w:rsidRPr="00F3397D">
              <w:rPr>
                <w:rFonts w:ascii="Tahoma" w:hAnsi="Tahoma" w:cs="Tahoma"/>
              </w:rPr>
              <w:t>contact</w:t>
            </w:r>
            <w:r w:rsidRPr="00F3397D">
              <w:rPr>
                <w:rFonts w:ascii="Tahoma" w:hAnsi="Tahoma" w:cs="Tahoma"/>
              </w:rPr>
              <w:t xml:space="preserve"> the family and arrange a</w:t>
            </w:r>
            <w:r w:rsidR="00C54B0F">
              <w:rPr>
                <w:rFonts w:ascii="Tahoma" w:hAnsi="Tahoma" w:cs="Tahoma"/>
              </w:rPr>
              <w:t xml:space="preserve">n induction and </w:t>
            </w:r>
            <w:r w:rsidR="00C54B0F" w:rsidRPr="00F3397D">
              <w:rPr>
                <w:rFonts w:ascii="Tahoma" w:hAnsi="Tahoma" w:cs="Tahoma"/>
              </w:rPr>
              <w:t>transition</w:t>
            </w:r>
            <w:r w:rsidR="00C54B0F">
              <w:rPr>
                <w:rFonts w:ascii="Tahoma" w:hAnsi="Tahoma" w:cs="Tahoma"/>
              </w:rPr>
              <w:t xml:space="preserve"> </w:t>
            </w:r>
            <w:r w:rsidR="00C54B0F" w:rsidRPr="00F3397D">
              <w:rPr>
                <w:rFonts w:ascii="Tahoma" w:hAnsi="Tahoma" w:cs="Tahoma"/>
              </w:rPr>
              <w:t>plan</w:t>
            </w:r>
            <w:r w:rsidRPr="00F3397D">
              <w:rPr>
                <w:rFonts w:ascii="Tahoma" w:hAnsi="Tahoma" w:cs="Tahoma"/>
              </w:rPr>
              <w:t xml:space="preserve"> for the young person</w:t>
            </w:r>
            <w:r w:rsidR="00C54B0F">
              <w:rPr>
                <w:rFonts w:ascii="Tahoma" w:hAnsi="Tahoma" w:cs="Tahoma"/>
              </w:rPr>
              <w:t>, the induction will consist of baseline assessments which can be carried out over two</w:t>
            </w:r>
            <w:r w:rsidR="00970398">
              <w:rPr>
                <w:rFonts w:ascii="Tahoma" w:hAnsi="Tahoma" w:cs="Tahoma"/>
              </w:rPr>
              <w:t xml:space="preserve"> half</w:t>
            </w:r>
            <w:r w:rsidR="00C54B0F">
              <w:rPr>
                <w:rFonts w:ascii="Tahoma" w:hAnsi="Tahoma" w:cs="Tahoma"/>
              </w:rPr>
              <w:t xml:space="preserve"> days.</w:t>
            </w:r>
            <w:r w:rsidRPr="00F3397D">
              <w:rPr>
                <w:rFonts w:ascii="Tahoma" w:hAnsi="Tahoma" w:cs="Tahoma"/>
              </w:rPr>
              <w:t xml:space="preserve"> </w:t>
            </w:r>
          </w:p>
          <w:p w14:paraId="1FFD2EC2" w14:textId="77777777" w:rsidR="00E4152A" w:rsidRDefault="00E4152A" w:rsidP="00873CA1">
            <w:pPr>
              <w:pStyle w:val="ListParagraph"/>
              <w:ind w:left="0"/>
              <w:rPr>
                <w:rFonts w:ascii="Tahoma" w:hAnsi="Tahoma" w:cs="Tahoma"/>
              </w:rPr>
            </w:pPr>
          </w:p>
          <w:p w14:paraId="6ED43002" w14:textId="77777777" w:rsidR="00B446C5" w:rsidRDefault="00B446C5" w:rsidP="00873CA1">
            <w:pPr>
              <w:pStyle w:val="ListParagraph"/>
              <w:ind w:left="0"/>
              <w:rPr>
                <w:rFonts w:ascii="Tahoma" w:hAnsi="Tahoma" w:cs="Tahoma"/>
                <w:b/>
                <w:bCs/>
              </w:rPr>
            </w:pPr>
          </w:p>
          <w:p w14:paraId="7DA014D1" w14:textId="61A616B1" w:rsidR="00B446C5" w:rsidRDefault="00B446C5" w:rsidP="00B446C5">
            <w:pPr>
              <w:rPr>
                <w:rFonts w:ascii="Tahoma" w:hAnsi="Tahoma" w:cs="Tahoma"/>
              </w:rPr>
            </w:pPr>
            <w:r w:rsidRPr="00983EE9">
              <w:rPr>
                <w:rFonts w:ascii="Tahoma" w:hAnsi="Tahoma" w:cs="Tahoma"/>
              </w:rPr>
              <w:t>Day 1 focuses on cognitive assessment using CATs to understand the pupil’s profile and generate indicative GCSE predictions, while Day 2 assesses reading, spelling, maths and attitudes to learning through NGRT, NGST, PTM and PASS. This data helps identify attainment levels, emotional readiness, and any immediate literacy or numeracy gaps so that appropriate provision and reasonable adjustments can be put in place</w:t>
            </w:r>
            <w:r w:rsidR="00983EE9">
              <w:rPr>
                <w:rFonts w:ascii="Tahoma" w:hAnsi="Tahoma" w:cs="Tahoma"/>
              </w:rPr>
              <w:t xml:space="preserve">. </w:t>
            </w:r>
          </w:p>
          <w:p w14:paraId="09F78BE9" w14:textId="77777777" w:rsidR="00B1458B" w:rsidRDefault="00B1458B" w:rsidP="00B446C5">
            <w:pPr>
              <w:rPr>
                <w:rFonts w:ascii="Tahoma" w:hAnsi="Tahoma" w:cs="Tahoma"/>
              </w:rPr>
            </w:pPr>
          </w:p>
          <w:p w14:paraId="6352513D" w14:textId="0ECD0803" w:rsidR="00B1458B" w:rsidRPr="00B1458B" w:rsidRDefault="00B1458B" w:rsidP="00B1458B">
            <w:pPr>
              <w:rPr>
                <w:rFonts w:ascii="Tahoma" w:hAnsi="Tahoma" w:cs="Tahoma"/>
              </w:rPr>
            </w:pPr>
            <w:r w:rsidRPr="4CB0C9B3">
              <w:rPr>
                <w:rFonts w:ascii="Tahoma" w:hAnsi="Tahoma" w:cs="Tahoma"/>
              </w:rPr>
              <w:t xml:space="preserve">All baseline information, along with key points from the pupil’s EHCP, is collated and shared with staff within the first week. This includes reading and spelling ages, </w:t>
            </w:r>
            <w:r w:rsidRPr="4CB0C9B3">
              <w:rPr>
                <w:rFonts w:ascii="Tahoma" w:hAnsi="Tahoma" w:cs="Tahoma"/>
              </w:rPr>
              <w:lastRenderedPageBreak/>
              <w:t>engagement insights from PASS, predicted GCSE scores, and required adaptations or therapeutic support. Where pupils have been out of education or experience significant anxiety, a time</w:t>
            </w:r>
            <w:r w:rsidR="5811DA48" w:rsidRPr="4CB0C9B3">
              <w:rPr>
                <w:rFonts w:ascii="Tahoma" w:hAnsi="Tahoma" w:cs="Tahoma"/>
              </w:rPr>
              <w:t xml:space="preserve"> </w:t>
            </w:r>
            <w:r w:rsidRPr="4CB0C9B3">
              <w:rPr>
                <w:rFonts w:ascii="Tahoma" w:hAnsi="Tahoma" w:cs="Tahoma"/>
              </w:rPr>
              <w:t>limited reduced timetable may be agreed with families to support a successful transition. This flexible plan identifies key adults, safe spaces and attendance expectations, and is reviewed after one to two weeks so pupils can move gradually toward increased or full attendance.</w:t>
            </w:r>
            <w:r w:rsidRPr="00B1458B">
              <w:rPr>
                <w:rFonts w:ascii="Tahoma" w:hAnsi="Tahoma" w:cs="Tahoma"/>
              </w:rPr>
              <w:noBreakHyphen/>
              <w:t>limited reduced timetable may be agreed with families to support a successful transition. This flexible plan identifies key adults, safe spaces and attendance expectations, and is reviewed after one to two weeks so pupils can move gradually toward increased or full attendance.</w:t>
            </w:r>
          </w:p>
          <w:p w14:paraId="583A0F82" w14:textId="77777777" w:rsidR="00B1458B" w:rsidRPr="00983EE9" w:rsidRDefault="00B1458B" w:rsidP="00B446C5">
            <w:pPr>
              <w:rPr>
                <w:rFonts w:ascii="Tahoma" w:hAnsi="Tahoma" w:cs="Tahoma"/>
              </w:rPr>
            </w:pPr>
          </w:p>
          <w:p w14:paraId="7F205577" w14:textId="0B92AD7C" w:rsidR="00407BD5" w:rsidRPr="00407BD5" w:rsidRDefault="00407BD5" w:rsidP="1E8365D3">
            <w:pPr>
              <w:rPr>
                <w:rFonts w:ascii="Tahoma" w:hAnsi="Tahoma" w:cs="Tahoma"/>
              </w:rPr>
            </w:pPr>
            <w:r w:rsidRPr="1E8365D3">
              <w:rPr>
                <w:rFonts w:ascii="Tahoma" w:hAnsi="Tahoma" w:cs="Tahoma"/>
              </w:rPr>
              <w:t>By weeks five to six, staff contribute round</w:t>
            </w:r>
            <w:r w:rsidR="2ED1B2C8" w:rsidRPr="1E8365D3">
              <w:rPr>
                <w:rFonts w:ascii="Tahoma" w:hAnsi="Tahoma" w:cs="Tahoma"/>
              </w:rPr>
              <w:t xml:space="preserve"> </w:t>
            </w:r>
            <w:r w:rsidRPr="1E8365D3">
              <w:rPr>
                <w:rFonts w:ascii="Tahoma" w:hAnsi="Tahoma" w:cs="Tahoma"/>
              </w:rPr>
              <w:t xml:space="preserve">robin feedback covering engagement, progress and emotional presentation, which informs the drafting of a pupil passport summarising </w:t>
            </w:r>
            <w:r w:rsidR="00A50C9B" w:rsidRPr="1E8365D3">
              <w:rPr>
                <w:rFonts w:ascii="Tahoma" w:hAnsi="Tahoma" w:cs="Tahoma"/>
              </w:rPr>
              <w:t xml:space="preserve">the </w:t>
            </w:r>
            <w:r w:rsidR="503D10F2" w:rsidRPr="1E8365D3">
              <w:rPr>
                <w:rFonts w:ascii="Tahoma" w:hAnsi="Tahoma" w:cs="Tahoma"/>
              </w:rPr>
              <w:t>provisions from their EHCP</w:t>
            </w:r>
            <w:r w:rsidR="4E0EB71C" w:rsidRPr="1E8365D3">
              <w:rPr>
                <w:rFonts w:ascii="Tahoma" w:hAnsi="Tahoma" w:cs="Tahoma"/>
              </w:rPr>
              <w:t xml:space="preserve"> e.g. therapy provision</w:t>
            </w:r>
            <w:r w:rsidR="00A50C9B" w:rsidRPr="1E8365D3">
              <w:rPr>
                <w:rFonts w:ascii="Tahoma" w:hAnsi="Tahoma" w:cs="Tahoma"/>
              </w:rPr>
              <w:t xml:space="preserve"> </w:t>
            </w:r>
            <w:r w:rsidR="3E092564" w:rsidRPr="1E8365D3">
              <w:rPr>
                <w:rFonts w:ascii="Tahoma" w:hAnsi="Tahoma" w:cs="Tahoma"/>
              </w:rPr>
              <w:t xml:space="preserve">along with the offer </w:t>
            </w:r>
            <w:r w:rsidR="00A50C9B" w:rsidRPr="1E8365D3">
              <w:rPr>
                <w:rFonts w:ascii="Tahoma" w:hAnsi="Tahoma" w:cs="Tahoma"/>
              </w:rPr>
              <w:t xml:space="preserve">from </w:t>
            </w:r>
            <w:r w:rsidR="4242493E" w:rsidRPr="1E8365D3">
              <w:rPr>
                <w:rFonts w:ascii="Tahoma" w:hAnsi="Tahoma" w:cs="Tahoma"/>
              </w:rPr>
              <w:t>the</w:t>
            </w:r>
            <w:r w:rsidR="00A50C9B" w:rsidRPr="1E8365D3">
              <w:rPr>
                <w:rFonts w:ascii="Tahoma" w:hAnsi="Tahoma" w:cs="Tahoma"/>
              </w:rPr>
              <w:t xml:space="preserve"> curriculum</w:t>
            </w:r>
            <w:r w:rsidR="40527034" w:rsidRPr="1E8365D3">
              <w:rPr>
                <w:rFonts w:ascii="Tahoma" w:hAnsi="Tahoma" w:cs="Tahoma"/>
              </w:rPr>
              <w:t xml:space="preserve"> and </w:t>
            </w:r>
            <w:r w:rsidR="00A50C9B" w:rsidRPr="1E8365D3">
              <w:rPr>
                <w:rFonts w:ascii="Tahoma" w:hAnsi="Tahoma" w:cs="Tahoma"/>
              </w:rPr>
              <w:t>behaviour</w:t>
            </w:r>
            <w:r w:rsidR="0A7CFDC3" w:rsidRPr="1E8365D3">
              <w:rPr>
                <w:rFonts w:ascii="Tahoma" w:hAnsi="Tahoma" w:cs="Tahoma"/>
              </w:rPr>
              <w:t xml:space="preserve"> that the school has identified</w:t>
            </w:r>
            <w:r w:rsidR="008460D6" w:rsidRPr="1E8365D3">
              <w:rPr>
                <w:rFonts w:ascii="Tahoma" w:hAnsi="Tahoma" w:cs="Tahoma"/>
              </w:rPr>
              <w:t xml:space="preserve">. </w:t>
            </w:r>
            <w:r w:rsidRPr="1E8365D3">
              <w:rPr>
                <w:rFonts w:ascii="Tahoma" w:hAnsi="Tahoma" w:cs="Tahoma"/>
              </w:rPr>
              <w:t xml:space="preserve">At the </w:t>
            </w:r>
            <w:r w:rsidR="0B855B10" w:rsidRPr="1E8365D3">
              <w:rPr>
                <w:rFonts w:ascii="Tahoma" w:hAnsi="Tahoma" w:cs="Tahoma"/>
              </w:rPr>
              <w:t>six-week</w:t>
            </w:r>
            <w:r w:rsidRPr="1E8365D3">
              <w:rPr>
                <w:rFonts w:ascii="Tahoma" w:hAnsi="Tahoma" w:cs="Tahoma"/>
              </w:rPr>
              <w:t xml:space="preserve"> review meeting, parents/carers and the pupil help finalise this document</w:t>
            </w:r>
            <w:r w:rsidR="00330C8C" w:rsidRPr="1E8365D3">
              <w:rPr>
                <w:rFonts w:ascii="Tahoma" w:hAnsi="Tahoma" w:cs="Tahoma"/>
              </w:rPr>
              <w:t xml:space="preserve"> with the Assistant head</w:t>
            </w:r>
            <w:r w:rsidR="001F5DE4" w:rsidRPr="1E8365D3">
              <w:rPr>
                <w:rFonts w:ascii="Tahoma" w:hAnsi="Tahoma" w:cs="Tahoma"/>
              </w:rPr>
              <w:t>.</w:t>
            </w:r>
            <w:r w:rsidR="001923EF" w:rsidRPr="1E8365D3">
              <w:rPr>
                <w:rFonts w:ascii="Tahoma" w:hAnsi="Tahoma" w:cs="Tahoma"/>
              </w:rPr>
              <w:t xml:space="preserve"> The</w:t>
            </w:r>
            <w:r w:rsidR="008929EF" w:rsidRPr="1E8365D3">
              <w:rPr>
                <w:rFonts w:ascii="Tahoma" w:hAnsi="Tahoma" w:cs="Tahoma"/>
              </w:rPr>
              <w:t xml:space="preserve"> DSL will </w:t>
            </w:r>
            <w:r w:rsidR="00966CCD" w:rsidRPr="1E8365D3">
              <w:rPr>
                <w:rFonts w:ascii="Tahoma" w:hAnsi="Tahoma" w:cs="Tahoma"/>
              </w:rPr>
              <w:t xml:space="preserve">liaise with parents to complete an Individual Risk Assessment form. </w:t>
            </w:r>
            <w:r w:rsidRPr="1E8365D3">
              <w:rPr>
                <w:rFonts w:ascii="Tahoma" w:hAnsi="Tahoma" w:cs="Tahoma"/>
              </w:rPr>
              <w:t>The completed passport</w:t>
            </w:r>
            <w:r w:rsidR="00966CCD" w:rsidRPr="1E8365D3">
              <w:rPr>
                <w:rFonts w:ascii="Tahoma" w:hAnsi="Tahoma" w:cs="Tahoma"/>
              </w:rPr>
              <w:t xml:space="preserve"> and risk assessment</w:t>
            </w:r>
            <w:r w:rsidRPr="1E8365D3">
              <w:rPr>
                <w:rFonts w:ascii="Tahoma" w:hAnsi="Tahoma" w:cs="Tahoma"/>
              </w:rPr>
              <w:t xml:space="preserve"> is shared with all staff</w:t>
            </w:r>
            <w:r w:rsidR="001A0342" w:rsidRPr="1E8365D3">
              <w:rPr>
                <w:rFonts w:ascii="Tahoma" w:hAnsi="Tahoma" w:cs="Tahoma"/>
              </w:rPr>
              <w:t xml:space="preserve">. The my passport is </w:t>
            </w:r>
            <w:r w:rsidRPr="1E8365D3">
              <w:rPr>
                <w:rFonts w:ascii="Tahoma" w:hAnsi="Tahoma" w:cs="Tahoma"/>
              </w:rPr>
              <w:t>incorporated into provision mapping and APDR processes. The overall induction and baseline process is monitored by senior leaders to ensure it remains effective, supportive and aligned with best practice for pupils with SEND.</w:t>
            </w:r>
          </w:p>
          <w:p w14:paraId="2FA28906" w14:textId="77777777" w:rsidR="00873CA1" w:rsidRPr="00F3397D" w:rsidRDefault="00873CA1" w:rsidP="00873CA1"/>
          <w:p w14:paraId="096F6E78" w14:textId="77777777" w:rsidR="00873CA1" w:rsidRDefault="00873CA1" w:rsidP="00873CA1">
            <w:pPr>
              <w:rPr>
                <w:rFonts w:ascii="Tahoma" w:hAnsi="Tahoma" w:cs="Tahoma"/>
              </w:rPr>
            </w:pPr>
            <w:r w:rsidRPr="00F3397D">
              <w:rPr>
                <w:rFonts w:ascii="Tahoma" w:hAnsi="Tahoma" w:cs="Tahoma"/>
              </w:rPr>
              <w:t xml:space="preserve">Within the first half term, the young person will also undertake a full OT and SALT assessment with our in-house therapy team. </w:t>
            </w:r>
          </w:p>
          <w:p w14:paraId="3E278BE2" w14:textId="77777777" w:rsidR="00A81D31" w:rsidRPr="00F3397D" w:rsidRDefault="00A81D31" w:rsidP="00873CA1">
            <w:pPr>
              <w:rPr>
                <w:rFonts w:ascii="Tahoma" w:hAnsi="Tahoma" w:cs="Tahoma"/>
              </w:rPr>
            </w:pPr>
          </w:p>
          <w:p w14:paraId="5B527B81" w14:textId="3F037C3A" w:rsidR="00873CA1" w:rsidRDefault="00873CA1" w:rsidP="00DC7ED5">
            <w:r w:rsidRPr="00F3397D">
              <w:rPr>
                <w:rFonts w:ascii="Tahoma" w:hAnsi="Tahoma" w:cs="Tahoma"/>
              </w:rPr>
              <w:t xml:space="preserve">Placements are subject to a review within the initial </w:t>
            </w:r>
            <w:r w:rsidR="006346F9" w:rsidRPr="00F3397D">
              <w:rPr>
                <w:rFonts w:ascii="Tahoma" w:hAnsi="Tahoma" w:cs="Tahoma"/>
              </w:rPr>
              <w:t>3-month</w:t>
            </w:r>
            <w:r w:rsidRPr="00F3397D">
              <w:rPr>
                <w:rFonts w:ascii="Tahoma" w:hAnsi="Tahoma" w:cs="Tahoma"/>
              </w:rPr>
              <w:t xml:space="preserve"> period and normally held on 6 full weeks of education provision.</w:t>
            </w:r>
            <w:r w:rsidR="006346F9">
              <w:rPr>
                <w:rFonts w:ascii="Tahoma" w:hAnsi="Tahoma" w:cs="Tahoma"/>
              </w:rPr>
              <w:t xml:space="preserve"> </w:t>
            </w:r>
          </w:p>
        </w:tc>
      </w:tr>
      <w:tr w:rsidR="001947AE" w14:paraId="705A1BA6" w14:textId="77777777" w:rsidTr="1E8365D3">
        <w:tc>
          <w:tcPr>
            <w:tcW w:w="9016" w:type="dxa"/>
            <w:hideMark/>
          </w:tcPr>
          <w:p w14:paraId="19947BB2" w14:textId="77467B06" w:rsidR="00643ADA" w:rsidRDefault="00643ADA" w:rsidP="00643ADA">
            <w:pPr>
              <w:pStyle w:val="ListParagraph"/>
              <w:numPr>
                <w:ilvl w:val="0"/>
                <w:numId w:val="2"/>
              </w:numPr>
              <w:ind w:left="360"/>
              <w:rPr>
                <w:b/>
              </w:rPr>
            </w:pPr>
            <w:r w:rsidRPr="00976B00">
              <w:rPr>
                <w:rFonts w:ascii="Tahoma" w:hAnsi="Tahoma" w:cs="Tahoma"/>
                <w:b/>
              </w:rPr>
              <w:lastRenderedPageBreak/>
              <w:t>Unsuccessful referrals</w:t>
            </w:r>
          </w:p>
        </w:tc>
      </w:tr>
      <w:tr w:rsidR="001947AE" w14:paraId="353AD909" w14:textId="77777777" w:rsidTr="1E8365D3">
        <w:tc>
          <w:tcPr>
            <w:tcW w:w="9016" w:type="dxa"/>
          </w:tcPr>
          <w:p w14:paraId="4843DB6E" w14:textId="1940822F" w:rsidR="00F76024" w:rsidRPr="00F3397D" w:rsidRDefault="00F76024" w:rsidP="005D05B2">
            <w:pPr>
              <w:pStyle w:val="ListParagraph"/>
              <w:ind w:left="0"/>
              <w:rPr>
                <w:rFonts w:ascii="Tahoma" w:hAnsi="Tahoma" w:cs="Tahoma"/>
              </w:rPr>
            </w:pPr>
            <w:r w:rsidRPr="00F3397D">
              <w:rPr>
                <w:rFonts w:ascii="Tahoma" w:hAnsi="Tahoma" w:cs="Tahoma"/>
              </w:rPr>
              <w:t>An audit trail will be maintained by the Referrals Coordinator of all unsuccessful referrals. Details of this log will include service user’s demographic details and reason for not admitting to our services.</w:t>
            </w:r>
            <w:r w:rsidR="005D05B2">
              <w:rPr>
                <w:rFonts w:ascii="Tahoma" w:hAnsi="Tahoma" w:cs="Tahoma"/>
              </w:rPr>
              <w:t xml:space="preserve"> This</w:t>
            </w:r>
            <w:r w:rsidRPr="00F3397D">
              <w:rPr>
                <w:rFonts w:ascii="Tahoma" w:hAnsi="Tahoma" w:cs="Tahoma"/>
              </w:rPr>
              <w:t xml:space="preserve"> </w:t>
            </w:r>
            <w:r w:rsidR="005D05B2">
              <w:rPr>
                <w:rFonts w:ascii="Tahoma" w:hAnsi="Tahoma" w:cs="Tahoma"/>
              </w:rPr>
              <w:t xml:space="preserve">will provide the </w:t>
            </w:r>
            <w:r w:rsidRPr="00F3397D">
              <w:rPr>
                <w:rFonts w:ascii="Tahoma" w:hAnsi="Tahoma" w:cs="Tahoma"/>
              </w:rPr>
              <w:t xml:space="preserve">Referral Coordinator with detailed information from the schools SLT as to why placement was not offered. </w:t>
            </w:r>
          </w:p>
          <w:p w14:paraId="6E45F821" w14:textId="77777777" w:rsidR="00F76024" w:rsidRPr="00F3397D" w:rsidRDefault="00F76024" w:rsidP="00F76024">
            <w:pPr>
              <w:pStyle w:val="ListParagraph"/>
              <w:ind w:left="0"/>
              <w:rPr>
                <w:rFonts w:ascii="Tahoma" w:hAnsi="Tahoma" w:cs="Tahoma"/>
              </w:rPr>
            </w:pPr>
          </w:p>
          <w:p w14:paraId="0D4CFCC8" w14:textId="77777777" w:rsidR="00F76024" w:rsidRPr="00F3397D" w:rsidRDefault="00F76024" w:rsidP="00F76024">
            <w:pPr>
              <w:pStyle w:val="ListParagraph"/>
              <w:ind w:left="0"/>
              <w:rPr>
                <w:rFonts w:ascii="Tahoma" w:hAnsi="Tahoma" w:cs="Tahoma"/>
              </w:rPr>
            </w:pPr>
            <w:r w:rsidRPr="00F3397D">
              <w:rPr>
                <w:rFonts w:ascii="Tahoma" w:hAnsi="Tahoma" w:cs="Tahoma"/>
              </w:rPr>
              <w:t xml:space="preserve">Ultimately, our intention and moral imperative is to ensure that young people are placed in a provision that best meets their needs. </w:t>
            </w:r>
          </w:p>
          <w:p w14:paraId="798317F4" w14:textId="77777777" w:rsidR="00643ADA" w:rsidRDefault="00643ADA" w:rsidP="00643ADA">
            <w:pPr>
              <w:pStyle w:val="ListParagraph"/>
              <w:ind w:left="0"/>
            </w:pPr>
          </w:p>
        </w:tc>
      </w:tr>
      <w:tr w:rsidR="001947AE" w14:paraId="30545EEA" w14:textId="77777777" w:rsidTr="1E8365D3">
        <w:tc>
          <w:tcPr>
            <w:tcW w:w="9016" w:type="dxa"/>
            <w:hideMark/>
          </w:tcPr>
          <w:p w14:paraId="2DA50F9A" w14:textId="3D98A687" w:rsidR="00643ADA" w:rsidRDefault="00556A59" w:rsidP="00643ADA">
            <w:pPr>
              <w:pStyle w:val="ListParagraph"/>
              <w:numPr>
                <w:ilvl w:val="0"/>
                <w:numId w:val="2"/>
              </w:numPr>
              <w:ind w:left="360"/>
              <w:rPr>
                <w:b/>
              </w:rPr>
            </w:pPr>
            <w:r w:rsidRPr="005829AC">
              <w:rPr>
                <w:rFonts w:ascii="Tahoma" w:hAnsi="Tahoma" w:cs="Tahoma"/>
                <w:b/>
                <w:bCs/>
              </w:rPr>
              <w:t>Parental Enquiries</w:t>
            </w:r>
          </w:p>
        </w:tc>
      </w:tr>
      <w:tr w:rsidR="001947AE" w14:paraId="12A75276" w14:textId="77777777" w:rsidTr="1E8365D3">
        <w:tc>
          <w:tcPr>
            <w:tcW w:w="9016" w:type="dxa"/>
          </w:tcPr>
          <w:p w14:paraId="28AAB516" w14:textId="77777777" w:rsidR="001E2B9F" w:rsidRDefault="001E2B9F" w:rsidP="001E2B9F">
            <w:pPr>
              <w:pStyle w:val="ListParagraph"/>
              <w:ind w:left="0"/>
              <w:rPr>
                <w:rFonts w:ascii="Tahoma" w:hAnsi="Tahoma" w:cs="Tahoma"/>
              </w:rPr>
            </w:pPr>
          </w:p>
          <w:p w14:paraId="37F1E329" w14:textId="20942ACC" w:rsidR="001E2B9F" w:rsidRDefault="001E2B9F" w:rsidP="001E2B9F">
            <w:pPr>
              <w:pStyle w:val="ListParagraph"/>
              <w:ind w:left="0"/>
              <w:rPr>
                <w:rFonts w:ascii="Tahoma" w:hAnsi="Tahoma" w:cs="Tahoma"/>
              </w:rPr>
            </w:pPr>
            <w:r>
              <w:rPr>
                <w:rFonts w:ascii="Tahoma" w:hAnsi="Tahoma" w:cs="Tahoma"/>
              </w:rPr>
              <w:t xml:space="preserve">Referrals and enquiries from parent/carers received by the referral coordinator will be processed by the </w:t>
            </w:r>
            <w:r w:rsidR="00963211">
              <w:rPr>
                <w:rFonts w:ascii="Tahoma" w:hAnsi="Tahoma" w:cs="Tahoma"/>
              </w:rPr>
              <w:t>referral coordinator and Assistant head</w:t>
            </w:r>
            <w:r>
              <w:rPr>
                <w:rFonts w:ascii="Tahoma" w:hAnsi="Tahoma" w:cs="Tahoma"/>
              </w:rPr>
              <w:t xml:space="preserve">. The administrator can advise upon the suitability of the school to the young person’s needs. </w:t>
            </w:r>
          </w:p>
          <w:p w14:paraId="55A47163" w14:textId="77777777" w:rsidR="001E2B9F" w:rsidRDefault="001E2B9F" w:rsidP="001E2B9F">
            <w:pPr>
              <w:pStyle w:val="ListParagraph"/>
              <w:ind w:left="0"/>
              <w:rPr>
                <w:rFonts w:ascii="Tahoma" w:hAnsi="Tahoma" w:cs="Tahoma"/>
              </w:rPr>
            </w:pPr>
          </w:p>
          <w:p w14:paraId="209EC679" w14:textId="77777777" w:rsidR="001E2B9F" w:rsidRDefault="001E2B9F" w:rsidP="001E2B9F">
            <w:pPr>
              <w:pStyle w:val="ListParagraph"/>
              <w:ind w:left="0"/>
              <w:rPr>
                <w:rFonts w:ascii="Tahoma" w:hAnsi="Tahoma" w:cs="Tahoma"/>
              </w:rPr>
            </w:pPr>
            <w:r>
              <w:rPr>
                <w:rFonts w:ascii="Tahoma" w:hAnsi="Tahoma" w:cs="Tahoma"/>
              </w:rPr>
              <w:t>If the school is thought to be suitable and the parent/carer wishes to visit the school, they will be invited to one of the school’s tours which occur every half term.</w:t>
            </w:r>
          </w:p>
          <w:p w14:paraId="0630CBD4" w14:textId="77777777" w:rsidR="001E2B9F" w:rsidRDefault="001E2B9F" w:rsidP="001E2B9F">
            <w:pPr>
              <w:pStyle w:val="ListParagraph"/>
              <w:ind w:left="0"/>
              <w:rPr>
                <w:rFonts w:ascii="Tahoma" w:hAnsi="Tahoma" w:cs="Tahoma"/>
              </w:rPr>
            </w:pPr>
          </w:p>
          <w:p w14:paraId="19083C84" w14:textId="77777777" w:rsidR="001E2B9F" w:rsidRDefault="001E2B9F" w:rsidP="001E2B9F">
            <w:pPr>
              <w:pStyle w:val="ListParagraph"/>
              <w:ind w:left="0"/>
              <w:rPr>
                <w:rFonts w:ascii="Tahoma" w:hAnsi="Tahoma" w:cs="Tahoma"/>
              </w:rPr>
            </w:pPr>
            <w:r>
              <w:rPr>
                <w:rFonts w:ascii="Tahoma" w:hAnsi="Tahoma" w:cs="Tahoma"/>
              </w:rPr>
              <w:t xml:space="preserve">Admissions cannot be made as a direct result of these enquiries. </w:t>
            </w:r>
          </w:p>
          <w:p w14:paraId="6C0645C7" w14:textId="77777777" w:rsidR="001E2B9F" w:rsidRDefault="001E2B9F" w:rsidP="001E2B9F">
            <w:pPr>
              <w:pStyle w:val="ListParagraph"/>
              <w:ind w:left="0"/>
              <w:rPr>
                <w:rFonts w:ascii="Tahoma" w:hAnsi="Tahoma" w:cs="Tahoma"/>
              </w:rPr>
            </w:pPr>
          </w:p>
          <w:p w14:paraId="47AFDB7A" w14:textId="77777777" w:rsidR="001E2B9F" w:rsidRDefault="001E2B9F" w:rsidP="001E2B9F">
            <w:pPr>
              <w:pStyle w:val="ListParagraph"/>
              <w:ind w:left="0"/>
              <w:rPr>
                <w:rFonts w:ascii="Tahoma" w:hAnsi="Tahoma" w:cs="Tahoma"/>
              </w:rPr>
            </w:pPr>
            <w:r>
              <w:rPr>
                <w:rFonts w:ascii="Tahoma" w:hAnsi="Tahoma" w:cs="Tahoma"/>
              </w:rPr>
              <w:t>If a parent/carer wishes to pursue an admission to the school, they should contact their Local Authority and request that they consult the school. This will then start the above detailed process.</w:t>
            </w:r>
          </w:p>
          <w:p w14:paraId="4083BEA6" w14:textId="77777777" w:rsidR="001E2B9F" w:rsidRDefault="001E2B9F" w:rsidP="001E2B9F">
            <w:pPr>
              <w:pStyle w:val="ListParagraph"/>
              <w:ind w:left="0"/>
              <w:rPr>
                <w:rFonts w:ascii="Tahoma" w:hAnsi="Tahoma" w:cs="Tahoma"/>
              </w:rPr>
            </w:pPr>
          </w:p>
          <w:p w14:paraId="1935AC4A" w14:textId="77777777" w:rsidR="001E2B9F" w:rsidRDefault="001E2B9F" w:rsidP="001E2B9F">
            <w:pPr>
              <w:pStyle w:val="ListParagraph"/>
              <w:ind w:left="0"/>
              <w:rPr>
                <w:rFonts w:ascii="Tahoma" w:hAnsi="Tahoma" w:cs="Tahoma"/>
              </w:rPr>
            </w:pPr>
            <w:r>
              <w:rPr>
                <w:rFonts w:ascii="Tahoma" w:hAnsi="Tahoma" w:cs="Tahoma"/>
              </w:rPr>
              <w:t>A visit to the school does not mean that the school is offering or guaranteeing the young person a placement, or that they have availability in the required area/class.</w:t>
            </w:r>
          </w:p>
          <w:p w14:paraId="719F986C" w14:textId="77777777" w:rsidR="001E2B9F" w:rsidRDefault="001E2B9F" w:rsidP="001E2B9F">
            <w:pPr>
              <w:pStyle w:val="ListParagraph"/>
              <w:ind w:left="0"/>
            </w:pPr>
          </w:p>
        </w:tc>
      </w:tr>
    </w:tbl>
    <w:p w14:paraId="4D17DAE8" w14:textId="77777777" w:rsidR="00A843F3" w:rsidRDefault="00A843F3">
      <w:r>
        <w:lastRenderedPageBreak/>
        <w:br w:type="page"/>
      </w:r>
    </w:p>
    <w:p w14:paraId="2735CE79" w14:textId="77777777" w:rsidR="00A843F3" w:rsidRDefault="00A843F3"/>
    <w:tbl>
      <w:tblPr>
        <w:tblStyle w:val="TableGrid"/>
        <w:tblW w:w="0" w:type="auto"/>
        <w:tblLook w:val="04A0" w:firstRow="1" w:lastRow="0" w:firstColumn="1" w:lastColumn="0" w:noHBand="0" w:noVBand="1"/>
      </w:tblPr>
      <w:tblGrid>
        <w:gridCol w:w="4119"/>
        <w:gridCol w:w="394"/>
        <w:gridCol w:w="4163"/>
        <w:gridCol w:w="340"/>
      </w:tblGrid>
      <w:tr w:rsidR="001947AE" w:rsidRPr="00847CED" w14:paraId="41CFBE9F" w14:textId="77777777">
        <w:tc>
          <w:tcPr>
            <w:tcW w:w="9242" w:type="dxa"/>
            <w:gridSpan w:val="4"/>
            <w:shd w:val="clear" w:color="auto" w:fill="C6D9F1" w:themeFill="text2" w:themeFillTint="33"/>
          </w:tcPr>
          <w:p w14:paraId="563EC9C7" w14:textId="68543F74" w:rsidR="00C5559D" w:rsidRPr="00847CED" w:rsidRDefault="00C5559D">
            <w:pPr>
              <w:rPr>
                <w:b/>
              </w:rPr>
            </w:pPr>
            <w:r w:rsidRPr="00847CED">
              <w:rPr>
                <w:b/>
              </w:rPr>
              <w:t>Contents Checklist</w:t>
            </w:r>
            <w:r>
              <w:rPr>
                <w:b/>
              </w:rPr>
              <w:t xml:space="preserve"> </w:t>
            </w:r>
            <w:r w:rsidRPr="00847CED">
              <w:t>(Local S</w:t>
            </w:r>
            <w:r w:rsidR="00AE5866">
              <w:t>ervices</w:t>
            </w:r>
            <w:r w:rsidRPr="00847CED">
              <w:t xml:space="preserve"> may add additional items – this is a core list)</w:t>
            </w:r>
          </w:p>
        </w:tc>
      </w:tr>
      <w:tr w:rsidR="001A0342" w14:paraId="3FBAF4A4" w14:textId="77777777">
        <w:tc>
          <w:tcPr>
            <w:tcW w:w="4219" w:type="dxa"/>
          </w:tcPr>
          <w:p w14:paraId="59D09FBE" w14:textId="6EE7A678" w:rsidR="00C5559D" w:rsidRDefault="0092376C">
            <w:r>
              <w:t xml:space="preserve">Roles and </w:t>
            </w:r>
            <w:r w:rsidR="00C5559D">
              <w:t>Responsibilities</w:t>
            </w:r>
          </w:p>
        </w:tc>
        <w:tc>
          <w:tcPr>
            <w:tcW w:w="401" w:type="dxa"/>
          </w:tcPr>
          <w:p w14:paraId="338D2EE4" w14:textId="77777777" w:rsidR="00C5559D" w:rsidRDefault="00C5559D"/>
        </w:tc>
        <w:tc>
          <w:tcPr>
            <w:tcW w:w="4277" w:type="dxa"/>
          </w:tcPr>
          <w:p w14:paraId="4A4CA5C3" w14:textId="77777777" w:rsidR="00C5559D" w:rsidRDefault="00C5559D">
            <w:r>
              <w:t>Arranging assessments</w:t>
            </w:r>
          </w:p>
        </w:tc>
        <w:tc>
          <w:tcPr>
            <w:tcW w:w="345" w:type="dxa"/>
          </w:tcPr>
          <w:p w14:paraId="798007DF" w14:textId="77777777" w:rsidR="00C5559D" w:rsidRDefault="00C5559D"/>
        </w:tc>
      </w:tr>
      <w:tr w:rsidR="001A0342" w14:paraId="1AF4F3ED" w14:textId="77777777">
        <w:tc>
          <w:tcPr>
            <w:tcW w:w="4219" w:type="dxa"/>
          </w:tcPr>
          <w:p w14:paraId="02481086" w14:textId="77777777" w:rsidR="00C5559D" w:rsidRDefault="00C5559D">
            <w:r>
              <w:t>Admissions Impact Risk Assessment</w:t>
            </w:r>
            <w:r w:rsidR="00962790">
              <w:t xml:space="preserve"> </w:t>
            </w:r>
            <w:r w:rsidR="00962790" w:rsidRPr="00851FEA">
              <w:t>(used as part of the Provider Assessment in Wales)</w:t>
            </w:r>
          </w:p>
        </w:tc>
        <w:tc>
          <w:tcPr>
            <w:tcW w:w="401" w:type="dxa"/>
          </w:tcPr>
          <w:p w14:paraId="21AE8919" w14:textId="77777777" w:rsidR="00C5559D" w:rsidRDefault="00C5559D"/>
        </w:tc>
        <w:tc>
          <w:tcPr>
            <w:tcW w:w="4277" w:type="dxa"/>
          </w:tcPr>
          <w:p w14:paraId="3FCE4233" w14:textId="77777777" w:rsidR="00C5559D" w:rsidRDefault="00C5559D">
            <w:r>
              <w:t>Record keeping</w:t>
            </w:r>
          </w:p>
        </w:tc>
        <w:tc>
          <w:tcPr>
            <w:tcW w:w="345" w:type="dxa"/>
          </w:tcPr>
          <w:p w14:paraId="66CE7F42" w14:textId="77777777" w:rsidR="00C5559D" w:rsidRDefault="00C5559D"/>
        </w:tc>
      </w:tr>
      <w:tr w:rsidR="001A0342" w14:paraId="24171782" w14:textId="77777777">
        <w:tc>
          <w:tcPr>
            <w:tcW w:w="4219" w:type="dxa"/>
          </w:tcPr>
          <w:p w14:paraId="423E829F" w14:textId="77777777" w:rsidR="00C5559D" w:rsidRDefault="00C5559D">
            <w:r>
              <w:t>Risk Assessment</w:t>
            </w:r>
          </w:p>
        </w:tc>
        <w:tc>
          <w:tcPr>
            <w:tcW w:w="401" w:type="dxa"/>
          </w:tcPr>
          <w:p w14:paraId="7325D816" w14:textId="77777777" w:rsidR="00C5559D" w:rsidRDefault="00C5559D"/>
        </w:tc>
        <w:tc>
          <w:tcPr>
            <w:tcW w:w="4277" w:type="dxa"/>
          </w:tcPr>
          <w:p w14:paraId="0DDFCB64" w14:textId="77777777" w:rsidR="00C5559D" w:rsidRDefault="00C5559D">
            <w:r>
              <w:t>Evaluating referrals</w:t>
            </w:r>
          </w:p>
        </w:tc>
        <w:tc>
          <w:tcPr>
            <w:tcW w:w="345" w:type="dxa"/>
          </w:tcPr>
          <w:p w14:paraId="5D8A777E" w14:textId="77777777" w:rsidR="00C5559D" w:rsidRDefault="00C5559D"/>
        </w:tc>
      </w:tr>
      <w:tr w:rsidR="001A0342" w14:paraId="46CC4C48" w14:textId="77777777">
        <w:tc>
          <w:tcPr>
            <w:tcW w:w="4219" w:type="dxa"/>
          </w:tcPr>
          <w:p w14:paraId="24ED9DEF" w14:textId="3199F5D6" w:rsidR="00C5559D" w:rsidRDefault="00C5559D">
            <w:r>
              <w:t>Decision making</w:t>
            </w:r>
            <w:r w:rsidR="0092376C">
              <w:t xml:space="preserve"> and communication</w:t>
            </w:r>
          </w:p>
        </w:tc>
        <w:tc>
          <w:tcPr>
            <w:tcW w:w="401" w:type="dxa"/>
          </w:tcPr>
          <w:p w14:paraId="4AD0AD25" w14:textId="088F1A46" w:rsidR="00C5559D" w:rsidRDefault="00C5559D"/>
        </w:tc>
        <w:tc>
          <w:tcPr>
            <w:tcW w:w="4277" w:type="dxa"/>
          </w:tcPr>
          <w:p w14:paraId="428F3DAE" w14:textId="50391322" w:rsidR="00C5559D" w:rsidRDefault="0092376C">
            <w:r>
              <w:t>Information gathering</w:t>
            </w:r>
          </w:p>
        </w:tc>
        <w:tc>
          <w:tcPr>
            <w:tcW w:w="345" w:type="dxa"/>
          </w:tcPr>
          <w:p w14:paraId="0C3E22DE" w14:textId="77777777" w:rsidR="00C5559D" w:rsidRDefault="00C5559D"/>
        </w:tc>
      </w:tr>
      <w:tr w:rsidR="001A0342" w14:paraId="576B19ED" w14:textId="77777777">
        <w:tc>
          <w:tcPr>
            <w:tcW w:w="4219" w:type="dxa"/>
          </w:tcPr>
          <w:p w14:paraId="26973163" w14:textId="0D178E4D" w:rsidR="00C5559D" w:rsidRDefault="00C5559D">
            <w:r>
              <w:t xml:space="preserve">Documentation completion, </w:t>
            </w:r>
            <w:r w:rsidR="0092376C">
              <w:t>access and</w:t>
            </w:r>
            <w:r>
              <w:t xml:space="preserve"> storage</w:t>
            </w:r>
          </w:p>
        </w:tc>
        <w:tc>
          <w:tcPr>
            <w:tcW w:w="401" w:type="dxa"/>
          </w:tcPr>
          <w:p w14:paraId="114E6488" w14:textId="77777777" w:rsidR="00C5559D" w:rsidRDefault="00C5559D"/>
        </w:tc>
        <w:tc>
          <w:tcPr>
            <w:tcW w:w="4277" w:type="dxa"/>
          </w:tcPr>
          <w:p w14:paraId="0773666A" w14:textId="0D62E7ED" w:rsidR="00C5559D" w:rsidRDefault="0092376C">
            <w:r>
              <w:t>Monitoring and Review</w:t>
            </w:r>
          </w:p>
        </w:tc>
        <w:tc>
          <w:tcPr>
            <w:tcW w:w="345" w:type="dxa"/>
          </w:tcPr>
          <w:p w14:paraId="712C9C0A" w14:textId="77777777" w:rsidR="00C5559D" w:rsidRDefault="00C5559D"/>
        </w:tc>
      </w:tr>
    </w:tbl>
    <w:p w14:paraId="42CE8153" w14:textId="77777777" w:rsidR="00C5559D" w:rsidRDefault="00C5559D" w:rsidP="00C5559D"/>
    <w:p w14:paraId="07441A08" w14:textId="77777777" w:rsidR="00C5559D" w:rsidRDefault="00C5559D" w:rsidP="00C5559D"/>
    <w:p w14:paraId="5AA76651" w14:textId="77777777" w:rsidR="00C5559D" w:rsidRDefault="00C5559D" w:rsidP="00C5559D"/>
    <w:p w14:paraId="630D2138" w14:textId="77777777" w:rsidR="00C5559D" w:rsidRDefault="00C5559D" w:rsidP="00C5559D"/>
    <w:p w14:paraId="09C03B7C" w14:textId="77777777" w:rsidR="00C5559D" w:rsidRPr="00FE1B0D" w:rsidRDefault="00C5559D" w:rsidP="00C5559D">
      <w:pPr>
        <w:rPr>
          <w:b/>
          <w:lang w:eastAsia="en-GB"/>
        </w:rPr>
      </w:pPr>
      <w:r w:rsidRPr="00FE1B0D">
        <w:rPr>
          <w:b/>
        </w:rPr>
        <w:t>Local Procedure Review History</w:t>
      </w:r>
      <w:r w:rsidRPr="00FE1B0D">
        <w:rPr>
          <w:b/>
          <w:lang w:eastAsia="en-GB"/>
        </w:rPr>
        <w:t>:</w:t>
      </w:r>
    </w:p>
    <w:tbl>
      <w:tblPr>
        <w:tblStyle w:val="TableGrid"/>
        <w:tblW w:w="0" w:type="auto"/>
        <w:tblLook w:val="04A0" w:firstRow="1" w:lastRow="0" w:firstColumn="1" w:lastColumn="0" w:noHBand="0" w:noVBand="1"/>
      </w:tblPr>
      <w:tblGrid>
        <w:gridCol w:w="3005"/>
        <w:gridCol w:w="3005"/>
        <w:gridCol w:w="3006"/>
      </w:tblGrid>
      <w:tr w:rsidR="00966CCD" w14:paraId="6DF7E68B" w14:textId="77777777" w:rsidTr="1E8365D3">
        <w:tc>
          <w:tcPr>
            <w:tcW w:w="3080" w:type="dxa"/>
            <w:shd w:val="clear" w:color="auto" w:fill="C6D9F1" w:themeFill="text2" w:themeFillTint="33"/>
          </w:tcPr>
          <w:p w14:paraId="2EB6CB3B" w14:textId="77777777" w:rsidR="00C5559D" w:rsidRPr="00FE1B0D" w:rsidRDefault="00C5559D">
            <w:pPr>
              <w:rPr>
                <w:b/>
                <w:lang w:eastAsia="en-GB"/>
              </w:rPr>
            </w:pPr>
            <w:r w:rsidRPr="00FE1B0D">
              <w:rPr>
                <w:b/>
                <w:lang w:eastAsia="en-GB"/>
              </w:rPr>
              <w:t>Date Reviewed</w:t>
            </w:r>
          </w:p>
        </w:tc>
        <w:tc>
          <w:tcPr>
            <w:tcW w:w="3081" w:type="dxa"/>
            <w:shd w:val="clear" w:color="auto" w:fill="C6D9F1" w:themeFill="text2" w:themeFillTint="33"/>
          </w:tcPr>
          <w:p w14:paraId="359F5F57" w14:textId="77777777" w:rsidR="00C5559D" w:rsidRPr="00FE1B0D" w:rsidRDefault="00C5559D">
            <w:pPr>
              <w:rPr>
                <w:b/>
                <w:lang w:eastAsia="en-GB"/>
              </w:rPr>
            </w:pPr>
            <w:r w:rsidRPr="00FE1B0D">
              <w:rPr>
                <w:b/>
                <w:lang w:eastAsia="en-GB"/>
              </w:rPr>
              <w:t xml:space="preserve">Reviewer </w:t>
            </w:r>
          </w:p>
        </w:tc>
        <w:tc>
          <w:tcPr>
            <w:tcW w:w="3081" w:type="dxa"/>
            <w:shd w:val="clear" w:color="auto" w:fill="C6D9F1" w:themeFill="text2" w:themeFillTint="33"/>
          </w:tcPr>
          <w:p w14:paraId="3E195C54" w14:textId="77777777" w:rsidR="00C5559D" w:rsidRPr="00FE1B0D" w:rsidRDefault="00C5559D">
            <w:pPr>
              <w:rPr>
                <w:b/>
                <w:lang w:eastAsia="en-GB"/>
              </w:rPr>
            </w:pPr>
            <w:r w:rsidRPr="00FE1B0D">
              <w:rPr>
                <w:b/>
                <w:lang w:eastAsia="en-GB"/>
              </w:rPr>
              <w:t>Summary of revisions</w:t>
            </w:r>
          </w:p>
        </w:tc>
      </w:tr>
      <w:tr w:rsidR="00966CCD" w14:paraId="4437101B" w14:textId="77777777" w:rsidTr="1E8365D3">
        <w:tc>
          <w:tcPr>
            <w:tcW w:w="3080" w:type="dxa"/>
          </w:tcPr>
          <w:p w14:paraId="5A544F24" w14:textId="13D9DE33" w:rsidR="00C5559D" w:rsidRDefault="00A34E1C">
            <w:pPr>
              <w:rPr>
                <w:lang w:eastAsia="en-GB"/>
              </w:rPr>
            </w:pPr>
            <w:r w:rsidRPr="1E8365D3">
              <w:rPr>
                <w:lang w:eastAsia="en-GB"/>
              </w:rPr>
              <w:t>10/02/26</w:t>
            </w:r>
          </w:p>
        </w:tc>
        <w:tc>
          <w:tcPr>
            <w:tcW w:w="3081" w:type="dxa"/>
          </w:tcPr>
          <w:p w14:paraId="6F6D009A" w14:textId="27C090F1" w:rsidR="00C5559D" w:rsidRDefault="00A34E1C">
            <w:pPr>
              <w:rPr>
                <w:lang w:eastAsia="en-GB"/>
              </w:rPr>
            </w:pPr>
            <w:r w:rsidRPr="1E8365D3">
              <w:rPr>
                <w:lang w:eastAsia="en-GB"/>
              </w:rPr>
              <w:t>Keziah Raphael</w:t>
            </w:r>
          </w:p>
        </w:tc>
        <w:tc>
          <w:tcPr>
            <w:tcW w:w="3081" w:type="dxa"/>
          </w:tcPr>
          <w:p w14:paraId="43BCFCB2" w14:textId="77777777" w:rsidR="00C5559D" w:rsidRDefault="00C5559D">
            <w:pPr>
              <w:rPr>
                <w:lang w:eastAsia="en-GB"/>
              </w:rPr>
            </w:pPr>
          </w:p>
        </w:tc>
      </w:tr>
      <w:tr w:rsidR="00966CCD" w14:paraId="4E416535" w14:textId="77777777" w:rsidTr="1E8365D3">
        <w:tc>
          <w:tcPr>
            <w:tcW w:w="3080" w:type="dxa"/>
          </w:tcPr>
          <w:p w14:paraId="0F71B4AD" w14:textId="77777777" w:rsidR="00C5559D" w:rsidRDefault="00C5559D">
            <w:pPr>
              <w:rPr>
                <w:lang w:eastAsia="en-GB"/>
              </w:rPr>
            </w:pPr>
          </w:p>
        </w:tc>
        <w:tc>
          <w:tcPr>
            <w:tcW w:w="3081" w:type="dxa"/>
          </w:tcPr>
          <w:p w14:paraId="182D14A9" w14:textId="77777777" w:rsidR="00C5559D" w:rsidRDefault="00C5559D">
            <w:pPr>
              <w:rPr>
                <w:lang w:eastAsia="en-GB"/>
              </w:rPr>
            </w:pPr>
          </w:p>
        </w:tc>
        <w:tc>
          <w:tcPr>
            <w:tcW w:w="3081" w:type="dxa"/>
          </w:tcPr>
          <w:p w14:paraId="147E59A2" w14:textId="77777777" w:rsidR="00C5559D" w:rsidRDefault="00C5559D">
            <w:pPr>
              <w:rPr>
                <w:lang w:eastAsia="en-GB"/>
              </w:rPr>
            </w:pPr>
          </w:p>
        </w:tc>
      </w:tr>
      <w:tr w:rsidR="00966CCD" w14:paraId="4E868606" w14:textId="77777777" w:rsidTr="1E8365D3">
        <w:tc>
          <w:tcPr>
            <w:tcW w:w="3080" w:type="dxa"/>
          </w:tcPr>
          <w:p w14:paraId="3DD4756D" w14:textId="77777777" w:rsidR="00C5559D" w:rsidRDefault="00C5559D">
            <w:pPr>
              <w:rPr>
                <w:lang w:eastAsia="en-GB"/>
              </w:rPr>
            </w:pPr>
          </w:p>
        </w:tc>
        <w:tc>
          <w:tcPr>
            <w:tcW w:w="3081" w:type="dxa"/>
          </w:tcPr>
          <w:p w14:paraId="1AA9A1E7" w14:textId="77777777" w:rsidR="00C5559D" w:rsidRDefault="00C5559D">
            <w:pPr>
              <w:rPr>
                <w:lang w:eastAsia="en-GB"/>
              </w:rPr>
            </w:pPr>
          </w:p>
        </w:tc>
        <w:tc>
          <w:tcPr>
            <w:tcW w:w="3081" w:type="dxa"/>
          </w:tcPr>
          <w:p w14:paraId="78B4E372" w14:textId="77777777" w:rsidR="00C5559D" w:rsidRDefault="00C5559D">
            <w:pPr>
              <w:rPr>
                <w:lang w:eastAsia="en-GB"/>
              </w:rPr>
            </w:pPr>
          </w:p>
        </w:tc>
      </w:tr>
      <w:tr w:rsidR="00966CCD" w14:paraId="4D82F57F" w14:textId="77777777" w:rsidTr="1E8365D3">
        <w:tc>
          <w:tcPr>
            <w:tcW w:w="3080" w:type="dxa"/>
          </w:tcPr>
          <w:p w14:paraId="19D06687" w14:textId="77777777" w:rsidR="00C5559D" w:rsidRDefault="00C5559D">
            <w:pPr>
              <w:rPr>
                <w:lang w:eastAsia="en-GB"/>
              </w:rPr>
            </w:pPr>
          </w:p>
        </w:tc>
        <w:tc>
          <w:tcPr>
            <w:tcW w:w="3081" w:type="dxa"/>
          </w:tcPr>
          <w:p w14:paraId="6AFA146B" w14:textId="77777777" w:rsidR="00C5559D" w:rsidRDefault="00C5559D">
            <w:pPr>
              <w:rPr>
                <w:lang w:eastAsia="en-GB"/>
              </w:rPr>
            </w:pPr>
          </w:p>
        </w:tc>
        <w:tc>
          <w:tcPr>
            <w:tcW w:w="3081" w:type="dxa"/>
          </w:tcPr>
          <w:p w14:paraId="16EE42BC" w14:textId="77777777" w:rsidR="00C5559D" w:rsidRDefault="00C5559D">
            <w:pPr>
              <w:rPr>
                <w:lang w:eastAsia="en-GB"/>
              </w:rPr>
            </w:pPr>
          </w:p>
        </w:tc>
      </w:tr>
      <w:tr w:rsidR="00966CCD" w14:paraId="4DFE09E0" w14:textId="77777777" w:rsidTr="1E8365D3">
        <w:tc>
          <w:tcPr>
            <w:tcW w:w="3080" w:type="dxa"/>
          </w:tcPr>
          <w:p w14:paraId="3410E2C1" w14:textId="77777777" w:rsidR="00C5559D" w:rsidRDefault="00C5559D">
            <w:pPr>
              <w:rPr>
                <w:lang w:eastAsia="en-GB"/>
              </w:rPr>
            </w:pPr>
          </w:p>
        </w:tc>
        <w:tc>
          <w:tcPr>
            <w:tcW w:w="3081" w:type="dxa"/>
          </w:tcPr>
          <w:p w14:paraId="06D7C2E2" w14:textId="77777777" w:rsidR="00C5559D" w:rsidRDefault="00C5559D">
            <w:pPr>
              <w:rPr>
                <w:lang w:eastAsia="en-GB"/>
              </w:rPr>
            </w:pPr>
          </w:p>
        </w:tc>
        <w:tc>
          <w:tcPr>
            <w:tcW w:w="3081" w:type="dxa"/>
          </w:tcPr>
          <w:p w14:paraId="1E5C177E" w14:textId="77777777" w:rsidR="00C5559D" w:rsidRDefault="00C5559D">
            <w:pPr>
              <w:rPr>
                <w:lang w:eastAsia="en-GB"/>
              </w:rPr>
            </w:pPr>
          </w:p>
        </w:tc>
      </w:tr>
      <w:tr w:rsidR="00966CCD" w14:paraId="7B2EEB24" w14:textId="77777777" w:rsidTr="1E8365D3">
        <w:tc>
          <w:tcPr>
            <w:tcW w:w="3080" w:type="dxa"/>
          </w:tcPr>
          <w:p w14:paraId="25CDACB2" w14:textId="77777777" w:rsidR="00C5559D" w:rsidRDefault="00C5559D">
            <w:pPr>
              <w:rPr>
                <w:lang w:eastAsia="en-GB"/>
              </w:rPr>
            </w:pPr>
          </w:p>
        </w:tc>
        <w:tc>
          <w:tcPr>
            <w:tcW w:w="3081" w:type="dxa"/>
          </w:tcPr>
          <w:p w14:paraId="5E66E5BB" w14:textId="77777777" w:rsidR="00C5559D" w:rsidRDefault="00C5559D">
            <w:pPr>
              <w:rPr>
                <w:lang w:eastAsia="en-GB"/>
              </w:rPr>
            </w:pPr>
          </w:p>
        </w:tc>
        <w:tc>
          <w:tcPr>
            <w:tcW w:w="3081" w:type="dxa"/>
          </w:tcPr>
          <w:p w14:paraId="2C881233" w14:textId="77777777" w:rsidR="00C5559D" w:rsidRDefault="00C5559D">
            <w:pPr>
              <w:rPr>
                <w:lang w:eastAsia="en-GB"/>
              </w:rPr>
            </w:pPr>
          </w:p>
        </w:tc>
      </w:tr>
      <w:tr w:rsidR="00966CCD" w14:paraId="0FCFDB89" w14:textId="77777777" w:rsidTr="1E8365D3">
        <w:tc>
          <w:tcPr>
            <w:tcW w:w="3080" w:type="dxa"/>
          </w:tcPr>
          <w:p w14:paraId="51FFC242" w14:textId="77777777" w:rsidR="00C5559D" w:rsidRDefault="00C5559D">
            <w:pPr>
              <w:rPr>
                <w:lang w:eastAsia="en-GB"/>
              </w:rPr>
            </w:pPr>
          </w:p>
        </w:tc>
        <w:tc>
          <w:tcPr>
            <w:tcW w:w="3081" w:type="dxa"/>
          </w:tcPr>
          <w:p w14:paraId="5BCC3352" w14:textId="77777777" w:rsidR="00C5559D" w:rsidRDefault="00C5559D">
            <w:pPr>
              <w:rPr>
                <w:lang w:eastAsia="en-GB"/>
              </w:rPr>
            </w:pPr>
          </w:p>
        </w:tc>
        <w:tc>
          <w:tcPr>
            <w:tcW w:w="3081" w:type="dxa"/>
          </w:tcPr>
          <w:p w14:paraId="43D9A65B" w14:textId="77777777" w:rsidR="00C5559D" w:rsidRDefault="00C5559D">
            <w:pPr>
              <w:rPr>
                <w:lang w:eastAsia="en-GB"/>
              </w:rPr>
            </w:pPr>
          </w:p>
        </w:tc>
      </w:tr>
    </w:tbl>
    <w:p w14:paraId="3425CE84" w14:textId="77777777" w:rsidR="00C5559D" w:rsidRPr="00FE1B0D" w:rsidRDefault="00C5559D" w:rsidP="00C5559D">
      <w:pPr>
        <w:rPr>
          <w:lang w:eastAsia="en-GB"/>
        </w:rPr>
      </w:pPr>
    </w:p>
    <w:p w14:paraId="29707D30" w14:textId="77777777" w:rsidR="00C5559D" w:rsidRDefault="00C5559D" w:rsidP="00C5559D"/>
    <w:p w14:paraId="5B7F6F1B" w14:textId="77777777" w:rsidR="00B81383" w:rsidRDefault="00B81383"/>
    <w:sectPr w:rsidR="00B8138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423E0" w14:textId="77777777" w:rsidR="00FE6BBF" w:rsidRDefault="00FE6BBF">
      <w:pPr>
        <w:spacing w:after="0" w:line="240" w:lineRule="auto"/>
      </w:pPr>
      <w:r>
        <w:separator/>
      </w:r>
    </w:p>
  </w:endnote>
  <w:endnote w:type="continuationSeparator" w:id="0">
    <w:p w14:paraId="7A7C14C6" w14:textId="77777777" w:rsidR="00FE6BBF" w:rsidRDefault="00FE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B657" w14:textId="77777777" w:rsidR="00A843F3" w:rsidRPr="004C0F0F" w:rsidRDefault="00A843F3" w:rsidP="00A843F3">
    <w:pPr>
      <w:pStyle w:val="Footer"/>
      <w:tabs>
        <w:tab w:val="center" w:pos="4680"/>
        <w:tab w:val="right" w:pos="9360"/>
      </w:tabs>
      <w:rPr>
        <w:rFonts w:ascii="Tahoma" w:hAnsi="Tahoma" w:cs="Tahoma"/>
        <w:sz w:val="16"/>
        <w:szCs w:val="16"/>
      </w:rPr>
    </w:pPr>
    <w:r w:rsidRPr="004C0F0F">
      <w:rPr>
        <w:rFonts w:ascii="Tahoma" w:hAnsi="Tahoma" w:cs="Tahoma"/>
        <w:sz w:val="16"/>
        <w:szCs w:val="16"/>
      </w:rPr>
      <w:t xml:space="preserve">© </w:t>
    </w:r>
    <w:r w:rsidR="005C3483">
      <w:rPr>
        <w:rFonts w:ascii="Tahoma" w:hAnsi="Tahoma" w:cs="Tahoma"/>
        <w:sz w:val="16"/>
        <w:szCs w:val="16"/>
      </w:rPr>
      <w:t>Aspris</w:t>
    </w:r>
    <w:r w:rsidRPr="004C0F0F">
      <w:rPr>
        <w:rFonts w:ascii="Tahoma" w:hAnsi="Tahoma" w:cs="Tahoma"/>
        <w:sz w:val="16"/>
        <w:szCs w:val="16"/>
      </w:rPr>
      <w:t xml:space="preserve"> – Confidential </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5C3483">
      <w:rPr>
        <w:rFonts w:ascii="Tahoma" w:hAnsi="Tahoma" w:cs="Tahoma"/>
        <w:b/>
        <w:sz w:val="16"/>
        <w:szCs w:val="16"/>
      </w:rPr>
      <w:t>A</w:t>
    </w:r>
    <w:r w:rsidRPr="002A08D0">
      <w:rPr>
        <w:rFonts w:ascii="Tahoma" w:hAnsi="Tahoma" w:cs="Tahoma"/>
        <w:b/>
        <w:sz w:val="16"/>
        <w:szCs w:val="16"/>
      </w:rPr>
      <w:t xml:space="preserve">CS </w:t>
    </w:r>
    <w:r>
      <w:rPr>
        <w:rFonts w:ascii="Tahoma" w:hAnsi="Tahoma" w:cs="Tahoma"/>
        <w:b/>
        <w:sz w:val="16"/>
        <w:szCs w:val="16"/>
      </w:rPr>
      <w:t>Local Procedure: 10</w:t>
    </w:r>
  </w:p>
  <w:p w14:paraId="7A100842" w14:textId="146DF9CB" w:rsidR="00A843F3" w:rsidRPr="00C20A5B" w:rsidRDefault="005C3483" w:rsidP="00A843F3">
    <w:pPr>
      <w:pStyle w:val="Footer"/>
      <w:ind w:right="-186"/>
    </w:pPr>
    <w:r>
      <w:rPr>
        <w:rFonts w:ascii="Tahoma" w:hAnsi="Tahoma" w:cs="Tahoma"/>
        <w:sz w:val="16"/>
        <w:szCs w:val="16"/>
      </w:rPr>
      <w:t>Aspris</w:t>
    </w:r>
    <w:r w:rsidR="00851FEA">
      <w:rPr>
        <w:rFonts w:ascii="Tahoma" w:hAnsi="Tahoma" w:cs="Tahoma"/>
        <w:sz w:val="16"/>
        <w:szCs w:val="16"/>
      </w:rPr>
      <w:t xml:space="preserve"> Children’s Services – V0</w:t>
    </w:r>
    <w:r w:rsidR="00A24257">
      <w:rPr>
        <w:rFonts w:ascii="Tahoma" w:hAnsi="Tahoma" w:cs="Tahoma"/>
        <w:sz w:val="16"/>
        <w:szCs w:val="16"/>
      </w:rPr>
      <w:t>3</w:t>
    </w:r>
    <w:r w:rsidR="00A843F3" w:rsidRPr="004C0F0F">
      <w:rPr>
        <w:rFonts w:ascii="Tahoma" w:hAnsi="Tahoma" w:cs="Tahoma"/>
        <w:sz w:val="16"/>
        <w:szCs w:val="16"/>
      </w:rPr>
      <w:t xml:space="preserve"> </w:t>
    </w:r>
    <w:r w:rsidR="00A843F3" w:rsidRPr="004C0F0F">
      <w:rPr>
        <w:rFonts w:ascii="Tahoma" w:hAnsi="Tahoma" w:cs="Tahoma"/>
        <w:color w:val="000000"/>
        <w:sz w:val="16"/>
        <w:szCs w:val="16"/>
      </w:rPr>
      <w:t xml:space="preserve">– </w:t>
    </w:r>
    <w:r w:rsidR="00AE5866">
      <w:rPr>
        <w:rFonts w:ascii="Tahoma" w:hAnsi="Tahoma" w:cs="Tahoma"/>
        <w:color w:val="000000"/>
        <w:sz w:val="16"/>
        <w:szCs w:val="16"/>
      </w:rPr>
      <w:t>August</w:t>
    </w:r>
    <w:r>
      <w:rPr>
        <w:rFonts w:ascii="Tahoma" w:hAnsi="Tahoma" w:cs="Tahoma"/>
        <w:color w:val="000000"/>
        <w:sz w:val="16"/>
        <w:szCs w:val="16"/>
      </w:rPr>
      <w:t xml:space="preserve"> 202</w:t>
    </w:r>
    <w:r w:rsidR="00A24257">
      <w:rPr>
        <w:rFonts w:ascii="Tahoma" w:hAnsi="Tahoma" w:cs="Tahoma"/>
        <w:color w:val="000000"/>
        <w:sz w:val="16"/>
        <w:szCs w:val="16"/>
      </w:rPr>
      <w:t>5</w:t>
    </w:r>
    <w:r w:rsidR="00A843F3">
      <w:rPr>
        <w:rFonts w:ascii="Tahoma" w:hAnsi="Tahoma" w:cs="Tahoma"/>
        <w:color w:val="000000"/>
        <w:sz w:val="16"/>
        <w:szCs w:val="16"/>
      </w:rPr>
      <w:tab/>
    </w:r>
    <w:r w:rsidR="00A843F3" w:rsidRPr="004C0F0F">
      <w:rPr>
        <w:rFonts w:ascii="Tahoma" w:hAnsi="Tahoma" w:cs="Tahoma"/>
        <w:sz w:val="16"/>
      </w:rPr>
      <w:t xml:space="preserve"> </w:t>
    </w:r>
    <w:r w:rsidR="00A843F3">
      <w:rPr>
        <w:rFonts w:ascii="Tahoma" w:hAnsi="Tahoma" w:cs="Tahoma"/>
        <w:sz w:val="16"/>
      </w:rPr>
      <w:tab/>
    </w:r>
    <w:r w:rsidR="00A843F3" w:rsidRPr="00C20A5B">
      <w:rPr>
        <w:rFonts w:ascii="Tahoma" w:hAnsi="Tahoma" w:cs="Tahoma"/>
        <w:sz w:val="16"/>
      </w:rPr>
      <w:t xml:space="preserve">Page </w:t>
    </w:r>
    <w:r w:rsidR="00A843F3" w:rsidRPr="00C20A5B">
      <w:rPr>
        <w:rStyle w:val="PageNumber"/>
        <w:rFonts w:ascii="Tahoma" w:hAnsi="Tahoma" w:cs="Tahoma"/>
        <w:sz w:val="16"/>
      </w:rPr>
      <w:fldChar w:fldCharType="begin"/>
    </w:r>
    <w:r w:rsidR="00A843F3" w:rsidRPr="00C20A5B">
      <w:rPr>
        <w:rStyle w:val="PageNumber"/>
        <w:rFonts w:ascii="Tahoma" w:hAnsi="Tahoma" w:cs="Tahoma"/>
        <w:sz w:val="16"/>
      </w:rPr>
      <w:instrText xml:space="preserve"> PAGE </w:instrText>
    </w:r>
    <w:r w:rsidR="00A843F3" w:rsidRPr="00C20A5B">
      <w:rPr>
        <w:rStyle w:val="PageNumber"/>
        <w:rFonts w:ascii="Tahoma" w:hAnsi="Tahoma" w:cs="Tahoma"/>
        <w:sz w:val="16"/>
      </w:rPr>
      <w:fldChar w:fldCharType="separate"/>
    </w:r>
    <w:r>
      <w:rPr>
        <w:rStyle w:val="PageNumber"/>
        <w:rFonts w:ascii="Tahoma" w:hAnsi="Tahoma" w:cs="Tahoma"/>
        <w:noProof/>
        <w:sz w:val="16"/>
      </w:rPr>
      <w:t>1</w:t>
    </w:r>
    <w:r w:rsidR="00A843F3" w:rsidRPr="00C20A5B">
      <w:rPr>
        <w:rStyle w:val="PageNumber"/>
        <w:rFonts w:ascii="Tahoma" w:hAnsi="Tahoma" w:cs="Tahoma"/>
        <w:sz w:val="16"/>
      </w:rPr>
      <w:fldChar w:fldCharType="end"/>
    </w:r>
    <w:r w:rsidR="00A843F3" w:rsidRPr="00C20A5B">
      <w:rPr>
        <w:rFonts w:ascii="Tahoma" w:hAnsi="Tahoma" w:cs="Tahoma"/>
        <w:sz w:val="16"/>
      </w:rPr>
      <w:t xml:space="preserve"> of </w:t>
    </w:r>
    <w:r w:rsidR="00A843F3" w:rsidRPr="00C20A5B">
      <w:rPr>
        <w:rFonts w:ascii="Tahoma" w:hAnsi="Tahoma" w:cs="Tahoma"/>
        <w:sz w:val="16"/>
        <w:szCs w:val="16"/>
      </w:rPr>
      <w:fldChar w:fldCharType="begin"/>
    </w:r>
    <w:r w:rsidR="00A843F3" w:rsidRPr="00C20A5B">
      <w:rPr>
        <w:rFonts w:ascii="Tahoma" w:hAnsi="Tahoma" w:cs="Tahoma"/>
        <w:sz w:val="16"/>
        <w:szCs w:val="16"/>
      </w:rPr>
      <w:instrText xml:space="preserve"> NUMPAGES  </w:instrText>
    </w:r>
    <w:r w:rsidR="00A843F3" w:rsidRPr="00C20A5B">
      <w:rPr>
        <w:rFonts w:ascii="Tahoma" w:hAnsi="Tahoma" w:cs="Tahoma"/>
        <w:sz w:val="16"/>
        <w:szCs w:val="16"/>
      </w:rPr>
      <w:fldChar w:fldCharType="separate"/>
    </w:r>
    <w:r>
      <w:rPr>
        <w:rFonts w:ascii="Tahoma" w:hAnsi="Tahoma" w:cs="Tahoma"/>
        <w:noProof/>
        <w:sz w:val="16"/>
        <w:szCs w:val="16"/>
      </w:rPr>
      <w:t>2</w:t>
    </w:r>
    <w:r w:rsidR="00A843F3" w:rsidRPr="00C20A5B">
      <w:rPr>
        <w:rFonts w:ascii="Tahoma" w:hAnsi="Tahoma" w:cs="Tahoma"/>
        <w:sz w:val="16"/>
        <w:szCs w:val="16"/>
      </w:rPr>
      <w:fldChar w:fldCharType="end"/>
    </w:r>
  </w:p>
  <w:p w14:paraId="5419D851" w14:textId="77777777" w:rsidR="00AE5866" w:rsidRPr="00847CED" w:rsidRDefault="00AE5866">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AAF37" w14:textId="77777777" w:rsidR="00FE6BBF" w:rsidRDefault="00FE6BBF">
      <w:pPr>
        <w:spacing w:after="0" w:line="240" w:lineRule="auto"/>
      </w:pPr>
      <w:r>
        <w:separator/>
      </w:r>
    </w:p>
  </w:footnote>
  <w:footnote w:type="continuationSeparator" w:id="0">
    <w:p w14:paraId="38B88A69" w14:textId="77777777" w:rsidR="00FE6BBF" w:rsidRDefault="00FE6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B92A" w14:textId="15F13565" w:rsidR="00AE5866" w:rsidRPr="00714039" w:rsidRDefault="00A24257">
    <w:pPr>
      <w:pStyle w:val="Header"/>
      <w:jc w:val="center"/>
      <w:rPr>
        <w:b/>
        <w:color w:val="7F7F7F" w:themeColor="text1" w:themeTint="80"/>
      </w:rPr>
    </w:pPr>
    <w:r>
      <w:rPr>
        <w:b/>
        <w:color w:val="7F7F7F" w:themeColor="text1" w:themeTint="80"/>
      </w:rPr>
      <w:t xml:space="preserve">Local </w:t>
    </w:r>
    <w:r w:rsidR="00C5559D" w:rsidRPr="00714039">
      <w:rPr>
        <w:b/>
        <w:color w:val="7F7F7F" w:themeColor="text1" w:themeTint="80"/>
      </w:rPr>
      <w:t>Procedure Template</w:t>
    </w:r>
  </w:p>
  <w:p w14:paraId="79755AFE" w14:textId="77777777" w:rsidR="00AE5866" w:rsidRDefault="00AE5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96DC8"/>
    <w:multiLevelType w:val="hybridMultilevel"/>
    <w:tmpl w:val="D48C97A6"/>
    <w:lvl w:ilvl="0" w:tplc="3E1C41AC">
      <w:start w:val="4"/>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724A8C"/>
    <w:multiLevelType w:val="hybridMultilevel"/>
    <w:tmpl w:val="26782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0221810">
    <w:abstractNumId w:val="1"/>
  </w:num>
  <w:num w:numId="2" w16cid:durableId="458375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30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9D"/>
    <w:rsid w:val="0000322D"/>
    <w:rsid w:val="00014718"/>
    <w:rsid w:val="000555B2"/>
    <w:rsid w:val="00061C1C"/>
    <w:rsid w:val="00062456"/>
    <w:rsid w:val="0007664A"/>
    <w:rsid w:val="000910FB"/>
    <w:rsid w:val="00094073"/>
    <w:rsid w:val="000A438D"/>
    <w:rsid w:val="000B0C13"/>
    <w:rsid w:val="000B0CFA"/>
    <w:rsid w:val="000C0303"/>
    <w:rsid w:val="000D2B72"/>
    <w:rsid w:val="000E1CB3"/>
    <w:rsid w:val="000E3D1A"/>
    <w:rsid w:val="00103940"/>
    <w:rsid w:val="00147014"/>
    <w:rsid w:val="00164DFF"/>
    <w:rsid w:val="00190E53"/>
    <w:rsid w:val="001916ED"/>
    <w:rsid w:val="001923EF"/>
    <w:rsid w:val="001947AE"/>
    <w:rsid w:val="001952E2"/>
    <w:rsid w:val="001A0342"/>
    <w:rsid w:val="001B4D98"/>
    <w:rsid w:val="001E2B9F"/>
    <w:rsid w:val="001F1B2C"/>
    <w:rsid w:val="001F5DE4"/>
    <w:rsid w:val="00213EE2"/>
    <w:rsid w:val="00247062"/>
    <w:rsid w:val="00257540"/>
    <w:rsid w:val="00281EA5"/>
    <w:rsid w:val="0028503A"/>
    <w:rsid w:val="002874D7"/>
    <w:rsid w:val="002A2457"/>
    <w:rsid w:val="002A358A"/>
    <w:rsid w:val="002B4EF8"/>
    <w:rsid w:val="002C0F95"/>
    <w:rsid w:val="002C44AA"/>
    <w:rsid w:val="002D1879"/>
    <w:rsid w:val="002D2E67"/>
    <w:rsid w:val="00300A8A"/>
    <w:rsid w:val="0030532F"/>
    <w:rsid w:val="003307BB"/>
    <w:rsid w:val="00330C8C"/>
    <w:rsid w:val="003428E4"/>
    <w:rsid w:val="00393FFE"/>
    <w:rsid w:val="003A6765"/>
    <w:rsid w:val="003A69A8"/>
    <w:rsid w:val="003E6D9B"/>
    <w:rsid w:val="00407BD5"/>
    <w:rsid w:val="00416A9E"/>
    <w:rsid w:val="00417D70"/>
    <w:rsid w:val="00421E0A"/>
    <w:rsid w:val="0042403E"/>
    <w:rsid w:val="00432916"/>
    <w:rsid w:val="00434F22"/>
    <w:rsid w:val="0045431A"/>
    <w:rsid w:val="004B01AC"/>
    <w:rsid w:val="004C4882"/>
    <w:rsid w:val="004D07EF"/>
    <w:rsid w:val="004D1C64"/>
    <w:rsid w:val="004D66B1"/>
    <w:rsid w:val="004E0E90"/>
    <w:rsid w:val="00556A59"/>
    <w:rsid w:val="00560BAD"/>
    <w:rsid w:val="005613DC"/>
    <w:rsid w:val="00564EBD"/>
    <w:rsid w:val="00566371"/>
    <w:rsid w:val="00573F70"/>
    <w:rsid w:val="00584BA7"/>
    <w:rsid w:val="005A1426"/>
    <w:rsid w:val="005C1856"/>
    <w:rsid w:val="005C3483"/>
    <w:rsid w:val="005D05B2"/>
    <w:rsid w:val="005D3C6D"/>
    <w:rsid w:val="005F2A4C"/>
    <w:rsid w:val="00620B29"/>
    <w:rsid w:val="006346F9"/>
    <w:rsid w:val="00636B22"/>
    <w:rsid w:val="00643ADA"/>
    <w:rsid w:val="0066778D"/>
    <w:rsid w:val="00692C1C"/>
    <w:rsid w:val="006A15DE"/>
    <w:rsid w:val="006B641F"/>
    <w:rsid w:val="006C48B8"/>
    <w:rsid w:val="006D287C"/>
    <w:rsid w:val="006D7031"/>
    <w:rsid w:val="006F0091"/>
    <w:rsid w:val="006F0829"/>
    <w:rsid w:val="00703571"/>
    <w:rsid w:val="007200C6"/>
    <w:rsid w:val="00731BA9"/>
    <w:rsid w:val="00754779"/>
    <w:rsid w:val="00757F39"/>
    <w:rsid w:val="007607A0"/>
    <w:rsid w:val="007840CA"/>
    <w:rsid w:val="007905BC"/>
    <w:rsid w:val="007A0826"/>
    <w:rsid w:val="007A7A96"/>
    <w:rsid w:val="007B2403"/>
    <w:rsid w:val="0082441E"/>
    <w:rsid w:val="0082557F"/>
    <w:rsid w:val="0083649E"/>
    <w:rsid w:val="0083760A"/>
    <w:rsid w:val="008460D6"/>
    <w:rsid w:val="00851093"/>
    <w:rsid w:val="00851FEA"/>
    <w:rsid w:val="008576F3"/>
    <w:rsid w:val="00873CA1"/>
    <w:rsid w:val="00885B57"/>
    <w:rsid w:val="008929EF"/>
    <w:rsid w:val="008A002B"/>
    <w:rsid w:val="008B7DEC"/>
    <w:rsid w:val="008C680D"/>
    <w:rsid w:val="008D2C19"/>
    <w:rsid w:val="008D42CA"/>
    <w:rsid w:val="009047D0"/>
    <w:rsid w:val="0092376C"/>
    <w:rsid w:val="00935E92"/>
    <w:rsid w:val="00945D0B"/>
    <w:rsid w:val="00962790"/>
    <w:rsid w:val="00963211"/>
    <w:rsid w:val="00966CCD"/>
    <w:rsid w:val="00970398"/>
    <w:rsid w:val="00983EE9"/>
    <w:rsid w:val="009A3231"/>
    <w:rsid w:val="009A4C61"/>
    <w:rsid w:val="009B69BA"/>
    <w:rsid w:val="009C5B38"/>
    <w:rsid w:val="009D2568"/>
    <w:rsid w:val="009F406D"/>
    <w:rsid w:val="00A24257"/>
    <w:rsid w:val="00A32492"/>
    <w:rsid w:val="00A34E1C"/>
    <w:rsid w:val="00A50C9B"/>
    <w:rsid w:val="00A63916"/>
    <w:rsid w:val="00A81D31"/>
    <w:rsid w:val="00A843F3"/>
    <w:rsid w:val="00A90650"/>
    <w:rsid w:val="00A909D9"/>
    <w:rsid w:val="00A90D47"/>
    <w:rsid w:val="00AA0E03"/>
    <w:rsid w:val="00AC1818"/>
    <w:rsid w:val="00AC5845"/>
    <w:rsid w:val="00AC59A0"/>
    <w:rsid w:val="00AE0C29"/>
    <w:rsid w:val="00AE10EB"/>
    <w:rsid w:val="00AE2B1B"/>
    <w:rsid w:val="00AE540D"/>
    <w:rsid w:val="00AE5866"/>
    <w:rsid w:val="00AE7910"/>
    <w:rsid w:val="00B05B8F"/>
    <w:rsid w:val="00B1458B"/>
    <w:rsid w:val="00B14716"/>
    <w:rsid w:val="00B203C0"/>
    <w:rsid w:val="00B32342"/>
    <w:rsid w:val="00B3662A"/>
    <w:rsid w:val="00B446C5"/>
    <w:rsid w:val="00B46A9C"/>
    <w:rsid w:val="00B81383"/>
    <w:rsid w:val="00BA4A53"/>
    <w:rsid w:val="00BF409C"/>
    <w:rsid w:val="00C045D8"/>
    <w:rsid w:val="00C10B86"/>
    <w:rsid w:val="00C231EE"/>
    <w:rsid w:val="00C54439"/>
    <w:rsid w:val="00C54B0F"/>
    <w:rsid w:val="00C5559D"/>
    <w:rsid w:val="00C643C6"/>
    <w:rsid w:val="00C73179"/>
    <w:rsid w:val="00C7466C"/>
    <w:rsid w:val="00C92330"/>
    <w:rsid w:val="00CA52ED"/>
    <w:rsid w:val="00CB7DBD"/>
    <w:rsid w:val="00CD2750"/>
    <w:rsid w:val="00CD35CC"/>
    <w:rsid w:val="00CD3DCA"/>
    <w:rsid w:val="00CD72B6"/>
    <w:rsid w:val="00CE432E"/>
    <w:rsid w:val="00CF2F58"/>
    <w:rsid w:val="00CF3143"/>
    <w:rsid w:val="00CF4733"/>
    <w:rsid w:val="00D032AA"/>
    <w:rsid w:val="00D1313B"/>
    <w:rsid w:val="00D20A93"/>
    <w:rsid w:val="00D32292"/>
    <w:rsid w:val="00D61318"/>
    <w:rsid w:val="00D62172"/>
    <w:rsid w:val="00D83B15"/>
    <w:rsid w:val="00D84F29"/>
    <w:rsid w:val="00D90B20"/>
    <w:rsid w:val="00D95013"/>
    <w:rsid w:val="00D960CC"/>
    <w:rsid w:val="00DB4017"/>
    <w:rsid w:val="00DB437D"/>
    <w:rsid w:val="00DB5C60"/>
    <w:rsid w:val="00DC5C05"/>
    <w:rsid w:val="00DC7ED5"/>
    <w:rsid w:val="00DD0A8E"/>
    <w:rsid w:val="00DD6467"/>
    <w:rsid w:val="00DE1844"/>
    <w:rsid w:val="00DE2BA9"/>
    <w:rsid w:val="00DE35B1"/>
    <w:rsid w:val="00DE4C0C"/>
    <w:rsid w:val="00DE6A3D"/>
    <w:rsid w:val="00E007FF"/>
    <w:rsid w:val="00E14715"/>
    <w:rsid w:val="00E36EAD"/>
    <w:rsid w:val="00E4152A"/>
    <w:rsid w:val="00E44704"/>
    <w:rsid w:val="00E677D9"/>
    <w:rsid w:val="00E810BC"/>
    <w:rsid w:val="00E90610"/>
    <w:rsid w:val="00E94E46"/>
    <w:rsid w:val="00EA39B9"/>
    <w:rsid w:val="00EA75B6"/>
    <w:rsid w:val="00ED68DC"/>
    <w:rsid w:val="00EF14BA"/>
    <w:rsid w:val="00F00054"/>
    <w:rsid w:val="00F208F8"/>
    <w:rsid w:val="00F3788C"/>
    <w:rsid w:val="00F416A2"/>
    <w:rsid w:val="00F41809"/>
    <w:rsid w:val="00F50943"/>
    <w:rsid w:val="00F645D7"/>
    <w:rsid w:val="00F70465"/>
    <w:rsid w:val="00F76024"/>
    <w:rsid w:val="00FC70CE"/>
    <w:rsid w:val="00FE6BBF"/>
    <w:rsid w:val="00FF314F"/>
    <w:rsid w:val="0A7CFDC3"/>
    <w:rsid w:val="0B855B10"/>
    <w:rsid w:val="18691527"/>
    <w:rsid w:val="1E8365D3"/>
    <w:rsid w:val="2020952F"/>
    <w:rsid w:val="209957F2"/>
    <w:rsid w:val="221DA052"/>
    <w:rsid w:val="23860826"/>
    <w:rsid w:val="2ED1B2C8"/>
    <w:rsid w:val="3CC86DB5"/>
    <w:rsid w:val="3E092564"/>
    <w:rsid w:val="40527034"/>
    <w:rsid w:val="4242493E"/>
    <w:rsid w:val="45BB24BD"/>
    <w:rsid w:val="4CB0C9B3"/>
    <w:rsid w:val="4E0EB71C"/>
    <w:rsid w:val="503D10F2"/>
    <w:rsid w:val="5811DA48"/>
    <w:rsid w:val="747F73F0"/>
    <w:rsid w:val="75870D26"/>
    <w:rsid w:val="778AB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F63AD"/>
  <w15:docId w15:val="{1285AB68-191A-43BA-AE24-9C4A19DF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5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59D"/>
  </w:style>
  <w:style w:type="paragraph" w:styleId="Footer">
    <w:name w:val="footer"/>
    <w:basedOn w:val="Normal"/>
    <w:link w:val="FooterChar"/>
    <w:uiPriority w:val="99"/>
    <w:unhideWhenUsed/>
    <w:rsid w:val="00C55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59D"/>
  </w:style>
  <w:style w:type="table" w:styleId="TableGrid">
    <w:name w:val="Table Grid"/>
    <w:basedOn w:val="TableNormal"/>
    <w:uiPriority w:val="59"/>
    <w:rsid w:val="00C55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559D"/>
    <w:pPr>
      <w:ind w:left="720"/>
      <w:contextualSpacing/>
    </w:pPr>
  </w:style>
  <w:style w:type="character" w:styleId="PageNumber">
    <w:name w:val="page number"/>
    <w:basedOn w:val="DefaultParagraphFont"/>
    <w:rsid w:val="00A843F3"/>
  </w:style>
  <w:style w:type="paragraph" w:styleId="Revision">
    <w:name w:val="Revision"/>
    <w:hidden/>
    <w:uiPriority w:val="99"/>
    <w:semiHidden/>
    <w:rsid w:val="00E810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107460">
      <w:bodyDiv w:val="1"/>
      <w:marLeft w:val="0"/>
      <w:marRight w:val="0"/>
      <w:marTop w:val="0"/>
      <w:marBottom w:val="0"/>
      <w:divBdr>
        <w:top w:val="none" w:sz="0" w:space="0" w:color="auto"/>
        <w:left w:val="none" w:sz="0" w:space="0" w:color="auto"/>
        <w:bottom w:val="none" w:sz="0" w:space="0" w:color="auto"/>
        <w:right w:val="none" w:sz="0" w:space="0" w:color="auto"/>
      </w:divBdr>
    </w:div>
    <w:div w:id="12922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CFA519C22A274098220C453E82B5D4" ma:contentTypeVersion="19" ma:contentTypeDescription="Create a new document." ma:contentTypeScope="" ma:versionID="f4636e2fd8824c4d62e95d33b99705c2">
  <xsd:schema xmlns:xsd="http://www.w3.org/2001/XMLSchema" xmlns:xs="http://www.w3.org/2001/XMLSchema" xmlns:p="http://schemas.microsoft.com/office/2006/metadata/properties" xmlns:ns2="14073f4b-e690-4fc3-89ef-1efeec0cd9e2" xmlns:ns3="b43eeee7-22d9-49cf-980a-1b7dd9c74c52" targetNamespace="http://schemas.microsoft.com/office/2006/metadata/properties" ma:root="true" ma:fieldsID="7b7355f9533cd9fd825b3cc488f31ac4" ns2:_="" ns3:_="">
    <xsd:import namespace="14073f4b-e690-4fc3-89ef-1efeec0cd9e2"/>
    <xsd:import namespace="b43eeee7-22d9-49cf-980a-1b7dd9c74c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2:SharedWithUsers" minOccurs="0"/>
                <xsd:element ref="ns2:SharedWithDetail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3f4b-e690-4fc3-89ef-1efeec0cd9e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4a51d25c-aeb8-43b4-8c3c-d93e8ebb1590}" ma:internalName="TaxCatchAll" ma:showField="CatchAllData" ma:web="14073f4b-e690-4fc3-89ef-1efeec0cd9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3eeee7-22d9-49cf-980a-1b7dd9c74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3eeee7-22d9-49cf-980a-1b7dd9c74c52">
      <Terms xmlns="http://schemas.microsoft.com/office/infopath/2007/PartnerControls"/>
    </lcf76f155ced4ddcb4097134ff3c332f>
    <TaxCatchAll xmlns="14073f4b-e690-4fc3-89ef-1efeec0cd9e2" xsi:nil="true"/>
    <_dlc_DocId xmlns="14073f4b-e690-4fc3-89ef-1efeec0cd9e2">KAQQT6KAHKKP-1980343326-727036</_dlc_DocId>
    <_dlc_DocIdUrl xmlns="14073f4b-e690-4fc3-89ef-1efeec0cd9e2">
      <Url>https://aspriscs.sharepoint.com/sites/RoehamptonGateSchoolCorporate/_layouts/15/DocIdRedir.aspx?ID=KAQQT6KAHKKP-1980343326-727036</Url>
      <Description>KAQQT6KAHKKP-1980343326-727036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AC10FB5-BA5A-4612-937E-A04387C436A0}">
  <ds:schemaRefs>
    <ds:schemaRef ds:uri="http://schemas.microsoft.com/sharepoint/v3/contenttype/forms"/>
  </ds:schemaRefs>
</ds:datastoreItem>
</file>

<file path=customXml/itemProps2.xml><?xml version="1.0" encoding="utf-8"?>
<ds:datastoreItem xmlns:ds="http://schemas.openxmlformats.org/officeDocument/2006/customXml" ds:itemID="{09B2F450-3E59-4145-8627-B0DFAEA31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3f4b-e690-4fc3-89ef-1efeec0cd9e2"/>
    <ds:schemaRef ds:uri="b43eeee7-22d9-49cf-980a-1b7dd9c74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99244-EF60-4CF3-8D78-D1C8559563A9}">
  <ds:schemaRefs>
    <ds:schemaRef ds:uri="http://schemas.microsoft.com/office/2006/metadata/properties"/>
    <ds:schemaRef ds:uri="http://schemas.microsoft.com/office/infopath/2007/PartnerControls"/>
    <ds:schemaRef ds:uri="b43eeee7-22d9-49cf-980a-1b7dd9c74c52"/>
    <ds:schemaRef ds:uri="14073f4b-e690-4fc3-89ef-1efeec0cd9e2"/>
  </ds:schemaRefs>
</ds:datastoreItem>
</file>

<file path=customXml/itemProps4.xml><?xml version="1.0" encoding="utf-8"?>
<ds:datastoreItem xmlns:ds="http://schemas.openxmlformats.org/officeDocument/2006/customXml" ds:itemID="{8D17047D-A8FF-4C43-8746-475ECFB4C2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1356</Words>
  <Characters>7732</Characters>
  <Application>Microsoft Office Word</Application>
  <DocSecurity>0</DocSecurity>
  <Lines>64</Lines>
  <Paragraphs>18</Paragraphs>
  <ScaleCrop>false</ScaleCrop>
  <Company>Priory Group</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deploy</dc:creator>
  <cp:keywords/>
  <cp:lastModifiedBy>Ann Mary Jose</cp:lastModifiedBy>
  <cp:revision>124</cp:revision>
  <dcterms:created xsi:type="dcterms:W3CDTF">2025-09-20T09:59:00Z</dcterms:created>
  <dcterms:modified xsi:type="dcterms:W3CDTF">2026-02-12T09:26:00Z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0x01010008CFA519C22A274098220C453E82B5D4</vt:lpwstr>
  </property>
  <property fmtid="{D5CDD505-2E9C-101B-9397-08002B2CF9AE}" pid="3" name="_dlc_DocIdItemGuid">
    <vt:lpwstr>a6727df8-87c5-4721-ae4c-9072ad45df35</vt:lpwstr>
  </property>
  <property fmtid="{D5CDD505-2E9C-101B-9397-08002B2CF9AE}" pid="4" name="MediaServiceImageTags">
    <vt:lpwstr/>
  </property>
</Properties>
</file>