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C77D" w14:textId="77777777" w:rsidR="0035739E" w:rsidRPr="00876E21" w:rsidRDefault="00054B4F" w:rsidP="00054B4F">
      <w:pPr>
        <w:tabs>
          <w:tab w:val="left" w:pos="1245"/>
        </w:tabs>
        <w:rPr>
          <w:rFonts w:ascii="Tahoma" w:hAnsi="Tahoma" w:cs="Tahoma"/>
          <w:sz w:val="20"/>
          <w:szCs w:val="20"/>
        </w:rPr>
      </w:pPr>
      <w:r>
        <w:rPr>
          <w:noProof/>
          <w:lang w:eastAsia="en-GB"/>
        </w:rPr>
        <w:drawing>
          <wp:anchor distT="0" distB="0" distL="114300" distR="114300" simplePos="0" relativeHeight="251659264" behindDoc="0" locked="0" layoutInCell="1" allowOverlap="1" wp14:anchorId="03D8062B" wp14:editId="11714F34">
            <wp:simplePos x="0" y="0"/>
            <wp:positionH relativeFrom="column">
              <wp:posOffset>-676275</wp:posOffset>
            </wp:positionH>
            <wp:positionV relativeFrom="paragraph">
              <wp:posOffset>-800735</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sz w:val="20"/>
          <w:szCs w:val="20"/>
        </w:rPr>
        <w:tab/>
      </w:r>
    </w:p>
    <w:tbl>
      <w:tblPr>
        <w:tblStyle w:val="TableGrid"/>
        <w:tblW w:w="0" w:type="auto"/>
        <w:tblLook w:val="04A0" w:firstRow="1" w:lastRow="0" w:firstColumn="1" w:lastColumn="0" w:noHBand="0" w:noVBand="1"/>
      </w:tblPr>
      <w:tblGrid>
        <w:gridCol w:w="3436"/>
        <w:gridCol w:w="5580"/>
      </w:tblGrid>
      <w:tr w:rsidR="0035739E" w:rsidRPr="00876E21" w14:paraId="634EE295" w14:textId="77777777" w:rsidTr="00A61812">
        <w:tc>
          <w:tcPr>
            <w:tcW w:w="3510" w:type="dxa"/>
            <w:shd w:val="clear" w:color="auto" w:fill="DBE5F1" w:themeFill="accent1" w:themeFillTint="33"/>
          </w:tcPr>
          <w:p w14:paraId="20B6EA38"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Title</w:t>
            </w:r>
          </w:p>
        </w:tc>
        <w:tc>
          <w:tcPr>
            <w:tcW w:w="5732" w:type="dxa"/>
          </w:tcPr>
          <w:p w14:paraId="244417B9" w14:textId="36DA92A6" w:rsidR="0035739E" w:rsidRPr="00876E21" w:rsidRDefault="0035739E" w:rsidP="00A61812">
            <w:pPr>
              <w:rPr>
                <w:rFonts w:ascii="Tahoma" w:hAnsi="Tahoma" w:cs="Tahoma"/>
                <w:b/>
                <w:sz w:val="20"/>
                <w:szCs w:val="20"/>
              </w:rPr>
            </w:pPr>
          </w:p>
        </w:tc>
      </w:tr>
      <w:tr w:rsidR="0035739E" w:rsidRPr="00876E21" w14:paraId="3BF952D0" w14:textId="77777777" w:rsidTr="00A61812">
        <w:tc>
          <w:tcPr>
            <w:tcW w:w="3510" w:type="dxa"/>
            <w:shd w:val="clear" w:color="auto" w:fill="DBE5F1" w:themeFill="accent1" w:themeFillTint="33"/>
          </w:tcPr>
          <w:p w14:paraId="645747D1" w14:textId="76B2D9C1" w:rsidR="0035739E" w:rsidRPr="00876E21" w:rsidRDefault="0035739E" w:rsidP="00A61812">
            <w:pPr>
              <w:rPr>
                <w:rFonts w:ascii="Tahoma" w:hAnsi="Tahoma" w:cs="Tahoma"/>
                <w:b/>
                <w:sz w:val="20"/>
                <w:szCs w:val="20"/>
              </w:rPr>
            </w:pPr>
            <w:r w:rsidRPr="00876E21">
              <w:rPr>
                <w:rFonts w:ascii="Tahoma" w:hAnsi="Tahoma" w:cs="Tahoma"/>
                <w:b/>
                <w:sz w:val="20"/>
                <w:szCs w:val="20"/>
              </w:rPr>
              <w:t>S</w:t>
            </w:r>
            <w:r w:rsidR="00F354BA">
              <w:rPr>
                <w:rFonts w:ascii="Tahoma" w:hAnsi="Tahoma" w:cs="Tahoma"/>
                <w:b/>
                <w:sz w:val="20"/>
                <w:szCs w:val="20"/>
              </w:rPr>
              <w:t>ervice</w:t>
            </w:r>
          </w:p>
        </w:tc>
        <w:tc>
          <w:tcPr>
            <w:tcW w:w="5732" w:type="dxa"/>
          </w:tcPr>
          <w:p w14:paraId="036B0707" w14:textId="1E25ADC1" w:rsidR="0035739E" w:rsidRPr="00876E21" w:rsidRDefault="00B90983" w:rsidP="00A61812">
            <w:pPr>
              <w:rPr>
                <w:rFonts w:ascii="Tahoma" w:hAnsi="Tahoma" w:cs="Tahoma"/>
                <w:b/>
                <w:sz w:val="20"/>
                <w:szCs w:val="20"/>
              </w:rPr>
            </w:pPr>
            <w:r>
              <w:rPr>
                <w:rFonts w:ascii="Tahoma" w:hAnsi="Tahoma" w:cs="Tahoma"/>
                <w:b/>
                <w:sz w:val="20"/>
                <w:szCs w:val="20"/>
              </w:rPr>
              <w:t>Strathmore college</w:t>
            </w:r>
          </w:p>
        </w:tc>
      </w:tr>
      <w:tr w:rsidR="0035739E" w:rsidRPr="00876E21" w14:paraId="2CC72FC9" w14:textId="77777777" w:rsidTr="00A61812">
        <w:tc>
          <w:tcPr>
            <w:tcW w:w="3510" w:type="dxa"/>
            <w:shd w:val="clear" w:color="auto" w:fill="DBE5F1" w:themeFill="accent1" w:themeFillTint="33"/>
          </w:tcPr>
          <w:p w14:paraId="66EAC309" w14:textId="54EBFE62" w:rsidR="0035739E" w:rsidRPr="00876E21" w:rsidRDefault="00F354BA" w:rsidP="00A61812">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CS Policy number and title</w:t>
            </w:r>
          </w:p>
        </w:tc>
        <w:tc>
          <w:tcPr>
            <w:tcW w:w="5732" w:type="dxa"/>
          </w:tcPr>
          <w:p w14:paraId="5749296D" w14:textId="7A38A9C4" w:rsidR="0035739E" w:rsidRPr="00876E21" w:rsidRDefault="0035739E" w:rsidP="00221F5D">
            <w:pPr>
              <w:rPr>
                <w:rFonts w:ascii="Tahoma" w:hAnsi="Tahoma" w:cs="Tahoma"/>
                <w:b/>
                <w:sz w:val="20"/>
                <w:szCs w:val="20"/>
              </w:rPr>
            </w:pPr>
          </w:p>
        </w:tc>
      </w:tr>
      <w:tr w:rsidR="0035739E" w:rsidRPr="00876E21" w14:paraId="0A267BF3" w14:textId="77777777" w:rsidTr="00A61812">
        <w:tc>
          <w:tcPr>
            <w:tcW w:w="3510" w:type="dxa"/>
            <w:shd w:val="clear" w:color="auto" w:fill="DBE5F1" w:themeFill="accent1" w:themeFillTint="33"/>
          </w:tcPr>
          <w:p w14:paraId="70810F27"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template reference</w:t>
            </w:r>
          </w:p>
        </w:tc>
        <w:tc>
          <w:tcPr>
            <w:tcW w:w="5732" w:type="dxa"/>
          </w:tcPr>
          <w:p w14:paraId="222F42E8" w14:textId="6AD5BEA2" w:rsidR="0035739E" w:rsidRPr="00876E21" w:rsidRDefault="0035739E" w:rsidP="00A61812">
            <w:pPr>
              <w:rPr>
                <w:rFonts w:ascii="Tahoma" w:hAnsi="Tahoma" w:cs="Tahoma"/>
                <w:b/>
                <w:sz w:val="20"/>
                <w:szCs w:val="20"/>
              </w:rPr>
            </w:pPr>
          </w:p>
        </w:tc>
      </w:tr>
      <w:tr w:rsidR="0035739E" w:rsidRPr="00876E21" w14:paraId="2D3D9FF8" w14:textId="77777777" w:rsidTr="00A61812">
        <w:tc>
          <w:tcPr>
            <w:tcW w:w="3510" w:type="dxa"/>
            <w:shd w:val="clear" w:color="auto" w:fill="DBE5F1" w:themeFill="accent1" w:themeFillTint="33"/>
          </w:tcPr>
          <w:p w14:paraId="016DDF90"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date</w:t>
            </w:r>
          </w:p>
        </w:tc>
        <w:tc>
          <w:tcPr>
            <w:tcW w:w="5732" w:type="dxa"/>
          </w:tcPr>
          <w:p w14:paraId="6F265952" w14:textId="125B68A9" w:rsidR="0035739E" w:rsidRPr="00876E21" w:rsidRDefault="00EC09D8" w:rsidP="00A61812">
            <w:pPr>
              <w:rPr>
                <w:rFonts w:ascii="Tahoma" w:hAnsi="Tahoma" w:cs="Tahoma"/>
                <w:sz w:val="20"/>
                <w:szCs w:val="20"/>
              </w:rPr>
            </w:pPr>
            <w:r>
              <w:rPr>
                <w:rFonts w:ascii="Tahoma" w:hAnsi="Tahoma" w:cs="Tahoma"/>
                <w:sz w:val="20"/>
                <w:szCs w:val="20"/>
              </w:rPr>
              <w:t>16.04.26</w:t>
            </w:r>
          </w:p>
        </w:tc>
      </w:tr>
      <w:tr w:rsidR="0035739E" w:rsidRPr="00876E21" w14:paraId="512D8C5C" w14:textId="77777777" w:rsidTr="00A61812">
        <w:tc>
          <w:tcPr>
            <w:tcW w:w="3510" w:type="dxa"/>
            <w:shd w:val="clear" w:color="auto" w:fill="DBE5F1" w:themeFill="accent1" w:themeFillTint="33"/>
          </w:tcPr>
          <w:p w14:paraId="302EB1CE"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review date</w:t>
            </w:r>
          </w:p>
        </w:tc>
        <w:tc>
          <w:tcPr>
            <w:tcW w:w="5732" w:type="dxa"/>
          </w:tcPr>
          <w:p w14:paraId="0A67F4F8" w14:textId="5C285EB2" w:rsidR="0035739E" w:rsidRPr="00876E21" w:rsidRDefault="00EC09D8" w:rsidP="00A61812">
            <w:pPr>
              <w:rPr>
                <w:rFonts w:ascii="Tahoma" w:hAnsi="Tahoma" w:cs="Tahoma"/>
                <w:sz w:val="20"/>
                <w:szCs w:val="20"/>
              </w:rPr>
            </w:pPr>
            <w:r>
              <w:rPr>
                <w:rFonts w:ascii="Tahoma" w:hAnsi="Tahoma" w:cs="Tahoma"/>
                <w:sz w:val="20"/>
                <w:szCs w:val="20"/>
              </w:rPr>
              <w:t>16.04.26</w:t>
            </w:r>
          </w:p>
        </w:tc>
      </w:tr>
      <w:tr w:rsidR="0035739E" w:rsidRPr="00876E21" w14:paraId="778DF0A6" w14:textId="77777777" w:rsidTr="00A61812">
        <w:tc>
          <w:tcPr>
            <w:tcW w:w="3510" w:type="dxa"/>
            <w:shd w:val="clear" w:color="auto" w:fill="DBE5F1" w:themeFill="accent1" w:themeFillTint="33"/>
          </w:tcPr>
          <w:p w14:paraId="5B6E7D16"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Author(s)</w:t>
            </w:r>
          </w:p>
        </w:tc>
        <w:tc>
          <w:tcPr>
            <w:tcW w:w="5732" w:type="dxa"/>
          </w:tcPr>
          <w:p w14:paraId="38C1A2C3" w14:textId="2B7BDCFF" w:rsidR="0035739E" w:rsidRPr="00876E21" w:rsidRDefault="00EC09D8" w:rsidP="00A61812">
            <w:pPr>
              <w:rPr>
                <w:rFonts w:ascii="Tahoma" w:hAnsi="Tahoma" w:cs="Tahoma"/>
                <w:sz w:val="20"/>
                <w:szCs w:val="20"/>
              </w:rPr>
            </w:pPr>
            <w:r>
              <w:rPr>
                <w:rFonts w:ascii="Tahoma" w:hAnsi="Tahoma" w:cs="Tahoma"/>
                <w:sz w:val="20"/>
                <w:szCs w:val="20"/>
              </w:rPr>
              <w:t>Dina Webber</w:t>
            </w:r>
          </w:p>
        </w:tc>
      </w:tr>
      <w:tr w:rsidR="0035739E" w:rsidRPr="00876E21" w14:paraId="7714459D" w14:textId="77777777" w:rsidTr="00A61812">
        <w:tc>
          <w:tcPr>
            <w:tcW w:w="3510" w:type="dxa"/>
            <w:shd w:val="clear" w:color="auto" w:fill="DBE5F1" w:themeFill="accent1" w:themeFillTint="33"/>
          </w:tcPr>
          <w:p w14:paraId="1B55FA08"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Ratification</w:t>
            </w:r>
          </w:p>
        </w:tc>
        <w:tc>
          <w:tcPr>
            <w:tcW w:w="5732" w:type="dxa"/>
          </w:tcPr>
          <w:p w14:paraId="4C65C3C5" w14:textId="5A361CA9" w:rsidR="0035739E" w:rsidRPr="00876E21" w:rsidRDefault="0035739E" w:rsidP="00A61812">
            <w:pPr>
              <w:rPr>
                <w:rFonts w:ascii="Tahoma" w:hAnsi="Tahoma" w:cs="Tahoma"/>
                <w:sz w:val="20"/>
                <w:szCs w:val="20"/>
              </w:rPr>
            </w:pPr>
            <w:r w:rsidRPr="00876E21">
              <w:rPr>
                <w:rFonts w:ascii="Tahoma" w:hAnsi="Tahoma" w:cs="Tahoma"/>
                <w:sz w:val="20"/>
                <w:szCs w:val="20"/>
              </w:rPr>
              <w:t xml:space="preserve">Checked and </w:t>
            </w:r>
            <w:proofErr w:type="gramStart"/>
            <w:r w:rsidRPr="00876E21">
              <w:rPr>
                <w:rFonts w:ascii="Tahoma" w:hAnsi="Tahoma" w:cs="Tahoma"/>
                <w:sz w:val="20"/>
                <w:szCs w:val="20"/>
              </w:rPr>
              <w:t>Approved</w:t>
            </w:r>
            <w:proofErr w:type="gramEnd"/>
            <w:r w:rsidRPr="00876E21">
              <w:rPr>
                <w:rFonts w:ascii="Tahoma" w:hAnsi="Tahoma" w:cs="Tahoma"/>
                <w:sz w:val="20"/>
                <w:szCs w:val="20"/>
              </w:rPr>
              <w:t xml:space="preserve"> by: </w:t>
            </w:r>
            <w:r w:rsidR="00F2319C">
              <w:rPr>
                <w:rFonts w:ascii="Tahoma" w:hAnsi="Tahoma" w:cs="Tahoma"/>
                <w:sz w:val="20"/>
                <w:szCs w:val="20"/>
              </w:rPr>
              <w:t>Danielle Samuel (</w:t>
            </w:r>
            <w:proofErr w:type="gramStart"/>
            <w:r w:rsidR="00F2319C">
              <w:rPr>
                <w:rFonts w:ascii="Tahoma" w:hAnsi="Tahoma" w:cs="Tahoma"/>
                <w:sz w:val="20"/>
                <w:szCs w:val="20"/>
              </w:rPr>
              <w:t>Principal)</w:t>
            </w:r>
            <w:r w:rsidRPr="00876E21">
              <w:rPr>
                <w:rFonts w:ascii="Tahoma" w:hAnsi="Tahoma" w:cs="Tahoma"/>
                <w:sz w:val="20"/>
                <w:szCs w:val="20"/>
              </w:rPr>
              <w:t xml:space="preserve">   </w:t>
            </w:r>
            <w:proofErr w:type="gramEnd"/>
            <w:r w:rsidRPr="00876E21">
              <w:rPr>
                <w:rFonts w:ascii="Tahoma" w:hAnsi="Tahoma" w:cs="Tahoma"/>
                <w:sz w:val="20"/>
                <w:szCs w:val="20"/>
              </w:rPr>
              <w:t xml:space="preserve">                                         </w:t>
            </w:r>
          </w:p>
        </w:tc>
      </w:tr>
    </w:tbl>
    <w:p w14:paraId="5FBF8B33" w14:textId="77777777" w:rsidR="0035739E" w:rsidRPr="00876E21" w:rsidRDefault="0035739E" w:rsidP="0035739E">
      <w:pPr>
        <w:rPr>
          <w:rFonts w:ascii="Tahoma" w:hAnsi="Tahoma" w:cs="Tahoma"/>
          <w:sz w:val="20"/>
          <w:szCs w:val="20"/>
        </w:rPr>
      </w:pPr>
    </w:p>
    <w:tbl>
      <w:tblPr>
        <w:tblStyle w:val="TableGrid"/>
        <w:tblW w:w="0" w:type="auto"/>
        <w:tblLook w:val="04A0" w:firstRow="1" w:lastRow="0" w:firstColumn="1" w:lastColumn="0" w:noHBand="0" w:noVBand="1"/>
      </w:tblPr>
      <w:tblGrid>
        <w:gridCol w:w="9016"/>
      </w:tblGrid>
      <w:tr w:rsidR="00876E21" w14:paraId="495204AA" w14:textId="77777777" w:rsidTr="00DD3092">
        <w:tc>
          <w:tcPr>
            <w:tcW w:w="9016" w:type="dxa"/>
            <w:hideMark/>
          </w:tcPr>
          <w:p w14:paraId="524C0469" w14:textId="44D72C1E" w:rsidR="00876E21" w:rsidRPr="00B90983" w:rsidRDefault="00876E21" w:rsidP="00B90983">
            <w:pPr>
              <w:rPr>
                <w:b/>
              </w:rPr>
            </w:pPr>
          </w:p>
        </w:tc>
      </w:tr>
      <w:tr w:rsidR="00876E21" w:rsidRPr="00EC09D8" w14:paraId="25331BDA" w14:textId="77777777" w:rsidTr="00DD3092">
        <w:tc>
          <w:tcPr>
            <w:tcW w:w="9016" w:type="dxa"/>
          </w:tcPr>
          <w:p w14:paraId="08ED5D54"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1. Purpose</w:t>
            </w:r>
          </w:p>
          <w:p w14:paraId="15222161" w14:textId="77777777" w:rsidR="00EC09D8" w:rsidRPr="00EC09D8" w:rsidRDefault="00EC09D8" w:rsidP="00EC09D8">
            <w:pPr>
              <w:rPr>
                <w:rFonts w:ascii="Tenorite" w:hAnsi="Tenorite"/>
                <w:sz w:val="24"/>
                <w:szCs w:val="24"/>
              </w:rPr>
            </w:pPr>
            <w:r w:rsidRPr="00EC09D8">
              <w:rPr>
                <w:rFonts w:ascii="Tenorite" w:hAnsi="Tenorite"/>
                <w:sz w:val="24"/>
                <w:szCs w:val="24"/>
              </w:rPr>
              <w:t>The purpose of this policy is to ensure that all students who speak English as an Additional Language (EAL) are supported to achieve their full academic potential.</w:t>
            </w:r>
          </w:p>
          <w:p w14:paraId="65D13034" w14:textId="0FB1B817" w:rsidR="00CA187F" w:rsidRPr="00EC09D8" w:rsidRDefault="00CA187F" w:rsidP="00EC09D8">
            <w:pPr>
              <w:rPr>
                <w:rFonts w:ascii="Tenorite" w:hAnsi="Tenorite"/>
                <w:sz w:val="24"/>
                <w:szCs w:val="24"/>
              </w:rPr>
            </w:pPr>
          </w:p>
        </w:tc>
      </w:tr>
      <w:tr w:rsidR="00876E21" w:rsidRPr="00EC09D8" w14:paraId="4BE42E50" w14:textId="77777777" w:rsidTr="00EC09D8">
        <w:tc>
          <w:tcPr>
            <w:tcW w:w="9016" w:type="dxa"/>
          </w:tcPr>
          <w:p w14:paraId="0CA865F5"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2. Scope</w:t>
            </w:r>
          </w:p>
          <w:p w14:paraId="335C114A" w14:textId="77777777" w:rsidR="00EC09D8" w:rsidRPr="00EC09D8" w:rsidRDefault="00EC09D8" w:rsidP="00EC09D8">
            <w:pPr>
              <w:rPr>
                <w:rFonts w:ascii="Tenorite" w:hAnsi="Tenorite"/>
                <w:sz w:val="24"/>
                <w:szCs w:val="24"/>
              </w:rPr>
            </w:pPr>
            <w:r w:rsidRPr="00EC09D8">
              <w:rPr>
                <w:rFonts w:ascii="Tenorite" w:hAnsi="Tenorite"/>
                <w:sz w:val="24"/>
                <w:szCs w:val="24"/>
              </w:rPr>
              <w:t>This policy applies to all EAL students, teaching staff, support staff, and leadership at Strathmore College.</w:t>
            </w:r>
          </w:p>
          <w:p w14:paraId="34C02F52" w14:textId="75D55832" w:rsidR="00876E21" w:rsidRPr="00EC09D8" w:rsidRDefault="00876E21" w:rsidP="00B90983">
            <w:pPr>
              <w:rPr>
                <w:rFonts w:ascii="Tenorite" w:hAnsi="Tenorite"/>
                <w:b/>
                <w:sz w:val="24"/>
                <w:szCs w:val="24"/>
              </w:rPr>
            </w:pPr>
          </w:p>
        </w:tc>
      </w:tr>
      <w:tr w:rsidR="00876E21" w:rsidRPr="00EC09D8" w14:paraId="40EC4E3D" w14:textId="77777777" w:rsidTr="00DD3092">
        <w:tc>
          <w:tcPr>
            <w:tcW w:w="9016" w:type="dxa"/>
          </w:tcPr>
          <w:p w14:paraId="69F3C8D5"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3. Policy Statement</w:t>
            </w:r>
          </w:p>
          <w:p w14:paraId="486C8A11" w14:textId="77777777" w:rsidR="00EC09D8" w:rsidRPr="00EC09D8" w:rsidRDefault="00EC09D8" w:rsidP="00EC09D8">
            <w:pPr>
              <w:rPr>
                <w:rFonts w:ascii="Tenorite" w:hAnsi="Tenorite"/>
                <w:sz w:val="24"/>
                <w:szCs w:val="24"/>
              </w:rPr>
            </w:pPr>
            <w:r w:rsidRPr="00EC09D8">
              <w:rPr>
                <w:rFonts w:ascii="Tenorite" w:hAnsi="Tenorite"/>
                <w:sz w:val="24"/>
                <w:szCs w:val="24"/>
              </w:rPr>
              <w:t>Strathmore College is committed to inclusive education, ensuring EAL students can access the curriculum effectively. The College aligns with Ofsted’s Education Inspection Framework (EIF), ESFA requirements, and the Equality Act 2010.</w:t>
            </w:r>
          </w:p>
          <w:p w14:paraId="7EEF646B" w14:textId="0664CE77" w:rsidR="00152C96" w:rsidRPr="00EC09D8" w:rsidRDefault="00152C96" w:rsidP="00152C96">
            <w:pPr>
              <w:rPr>
                <w:rFonts w:ascii="Tenorite" w:hAnsi="Tenorite"/>
                <w:sz w:val="24"/>
                <w:szCs w:val="24"/>
              </w:rPr>
            </w:pPr>
          </w:p>
        </w:tc>
      </w:tr>
      <w:tr w:rsidR="00300797" w:rsidRPr="00EC09D8" w14:paraId="7AAB9873" w14:textId="77777777" w:rsidTr="00DD3092">
        <w:tc>
          <w:tcPr>
            <w:tcW w:w="9016" w:type="dxa"/>
          </w:tcPr>
          <w:p w14:paraId="07E11A6C"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4. Roles and Responsibilities</w:t>
            </w:r>
          </w:p>
          <w:p w14:paraId="54C8DD92" w14:textId="77777777" w:rsidR="00EC09D8" w:rsidRDefault="00EC09D8" w:rsidP="00EC09D8">
            <w:pPr>
              <w:rPr>
                <w:rFonts w:ascii="Tenorite" w:hAnsi="Tenorite"/>
                <w:sz w:val="24"/>
                <w:szCs w:val="24"/>
              </w:rPr>
            </w:pPr>
          </w:p>
          <w:p w14:paraId="5E2CC193" w14:textId="77777777" w:rsidR="00EC09D8" w:rsidRDefault="00EC09D8" w:rsidP="00EC09D8">
            <w:pPr>
              <w:rPr>
                <w:rFonts w:ascii="Tenorite" w:hAnsi="Tenorite"/>
                <w:sz w:val="24"/>
                <w:szCs w:val="24"/>
              </w:rPr>
            </w:pPr>
            <w:r w:rsidRPr="00EC09D8">
              <w:rPr>
                <w:rFonts w:ascii="Tenorite" w:hAnsi="Tenorite"/>
                <w:b/>
                <w:bCs/>
                <w:sz w:val="24"/>
                <w:szCs w:val="24"/>
              </w:rPr>
              <w:t>SLT</w:t>
            </w:r>
            <w:r w:rsidRPr="00EC09D8">
              <w:rPr>
                <w:rFonts w:ascii="Tenorite" w:hAnsi="Tenorite"/>
                <w:sz w:val="24"/>
                <w:szCs w:val="24"/>
              </w:rPr>
              <w:t>: Ensure compliance and monitor student outcomes.</w:t>
            </w:r>
            <w:r w:rsidRPr="00EC09D8">
              <w:rPr>
                <w:rFonts w:ascii="Tenorite" w:hAnsi="Tenorite"/>
                <w:sz w:val="24"/>
                <w:szCs w:val="24"/>
              </w:rPr>
              <w:br/>
              <w:t>Curriculum Leaders (MLT): Embed EAL strategies within each student’s programme and monitor progress. Where necessary students will be provided with targeted interventions to support students’ academic / vocational progress</w:t>
            </w:r>
            <w:r w:rsidRPr="00EC09D8">
              <w:rPr>
                <w:rFonts w:ascii="Tenorite" w:hAnsi="Tenorite"/>
                <w:sz w:val="24"/>
                <w:szCs w:val="24"/>
              </w:rPr>
              <w:br/>
            </w:r>
          </w:p>
          <w:p w14:paraId="61BF457F" w14:textId="38E90334" w:rsidR="00EC09D8" w:rsidRPr="00EC09D8" w:rsidRDefault="00EC09D8" w:rsidP="00EC09D8">
            <w:pPr>
              <w:rPr>
                <w:rFonts w:ascii="Tenorite" w:hAnsi="Tenorite"/>
                <w:sz w:val="24"/>
                <w:szCs w:val="24"/>
              </w:rPr>
            </w:pPr>
            <w:r w:rsidRPr="00EC09D8">
              <w:rPr>
                <w:rFonts w:ascii="Tenorite" w:hAnsi="Tenorite"/>
                <w:b/>
                <w:bCs/>
                <w:sz w:val="24"/>
                <w:szCs w:val="24"/>
              </w:rPr>
              <w:t>Tutors:</w:t>
            </w:r>
            <w:r w:rsidRPr="00EC09D8">
              <w:rPr>
                <w:rFonts w:ascii="Tenorite" w:hAnsi="Tenorite"/>
                <w:sz w:val="24"/>
                <w:szCs w:val="24"/>
              </w:rPr>
              <w:t xml:space="preserve"> Need to ensure that they differentiate their teaching and support language development, with additional support where necessary</w:t>
            </w:r>
          </w:p>
          <w:p w14:paraId="229CF68F" w14:textId="45C11F27" w:rsidR="00300797" w:rsidRPr="00EC09D8" w:rsidRDefault="00300797" w:rsidP="00300797">
            <w:pPr>
              <w:rPr>
                <w:rFonts w:ascii="Tenorite" w:hAnsi="Tenorite"/>
                <w:b/>
                <w:sz w:val="24"/>
                <w:szCs w:val="24"/>
              </w:rPr>
            </w:pPr>
          </w:p>
        </w:tc>
      </w:tr>
      <w:tr w:rsidR="00F52571" w:rsidRPr="00EC09D8" w14:paraId="671819D6" w14:textId="77777777" w:rsidTr="00DD3092">
        <w:tc>
          <w:tcPr>
            <w:tcW w:w="9016" w:type="dxa"/>
          </w:tcPr>
          <w:p w14:paraId="2BE781D9"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5. Identification and Assessment</w:t>
            </w:r>
          </w:p>
          <w:p w14:paraId="6B6D300E" w14:textId="77777777" w:rsidR="00EC09D8" w:rsidRPr="00EC09D8" w:rsidRDefault="00EC09D8" w:rsidP="00EC09D8">
            <w:pPr>
              <w:rPr>
                <w:rFonts w:ascii="Tenorite" w:hAnsi="Tenorite"/>
                <w:sz w:val="24"/>
                <w:szCs w:val="24"/>
              </w:rPr>
            </w:pPr>
            <w:r w:rsidRPr="00EC09D8">
              <w:rPr>
                <w:rFonts w:ascii="Tenorite" w:hAnsi="Tenorite"/>
                <w:sz w:val="24"/>
                <w:szCs w:val="24"/>
              </w:rPr>
              <w:t xml:space="preserve">EAL students are identified at Initial assessments and visits &amp; transitions. Initial and ongoing assessments inform teaching strategies and support needs. </w:t>
            </w:r>
          </w:p>
          <w:p w14:paraId="3A9451EF" w14:textId="2935014C" w:rsidR="002D7FFB" w:rsidRPr="00EC09D8" w:rsidRDefault="002D7FFB" w:rsidP="00F52571">
            <w:pPr>
              <w:rPr>
                <w:rFonts w:ascii="Tenorite" w:hAnsi="Tenorite"/>
                <w:bCs/>
                <w:sz w:val="24"/>
                <w:szCs w:val="24"/>
              </w:rPr>
            </w:pPr>
          </w:p>
        </w:tc>
      </w:tr>
      <w:tr w:rsidR="00F52571" w:rsidRPr="00EC09D8" w14:paraId="78884482" w14:textId="77777777" w:rsidTr="00DD3092">
        <w:tc>
          <w:tcPr>
            <w:tcW w:w="9016" w:type="dxa"/>
          </w:tcPr>
          <w:p w14:paraId="23B1EE71"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6. Teaching and Learning</w:t>
            </w:r>
          </w:p>
          <w:p w14:paraId="7C15178D" w14:textId="77777777" w:rsidR="00EC09D8" w:rsidRPr="00EC09D8" w:rsidRDefault="00EC09D8" w:rsidP="00EC09D8">
            <w:pPr>
              <w:rPr>
                <w:rFonts w:ascii="Tenorite" w:hAnsi="Tenorite"/>
                <w:sz w:val="24"/>
                <w:szCs w:val="24"/>
              </w:rPr>
            </w:pPr>
            <w:r w:rsidRPr="00EC09D8">
              <w:rPr>
                <w:rFonts w:ascii="Tenorite" w:hAnsi="Tenorite"/>
                <w:sz w:val="24"/>
                <w:szCs w:val="24"/>
              </w:rPr>
              <w:t>Staff will use scaffolding, visual aids, vocabulary pre-teaching, and collaborative learning to support EAL students.</w:t>
            </w:r>
          </w:p>
          <w:p w14:paraId="6F6B0ABF" w14:textId="717F7A14" w:rsidR="007C00E3" w:rsidRPr="00EC09D8" w:rsidRDefault="007C00E3" w:rsidP="007C00E3">
            <w:pPr>
              <w:rPr>
                <w:rFonts w:ascii="Tenorite" w:hAnsi="Tenorite"/>
                <w:b/>
                <w:sz w:val="24"/>
                <w:szCs w:val="24"/>
              </w:rPr>
            </w:pPr>
          </w:p>
        </w:tc>
      </w:tr>
      <w:tr w:rsidR="00EC09D8" w:rsidRPr="00EC09D8" w14:paraId="6FA4FF22" w14:textId="77777777" w:rsidTr="00DD3092">
        <w:tc>
          <w:tcPr>
            <w:tcW w:w="9016" w:type="dxa"/>
          </w:tcPr>
          <w:p w14:paraId="6764FFE6"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7. Curriculum Access</w:t>
            </w:r>
          </w:p>
          <w:p w14:paraId="204AC645" w14:textId="760AFC84" w:rsidR="00EC09D8" w:rsidRPr="00EC09D8" w:rsidRDefault="00EC09D8" w:rsidP="00EC09D8">
            <w:pPr>
              <w:rPr>
                <w:rFonts w:ascii="Tenorite" w:hAnsi="Tenorite"/>
                <w:sz w:val="24"/>
                <w:szCs w:val="24"/>
              </w:rPr>
            </w:pPr>
            <w:r w:rsidRPr="00EC09D8">
              <w:rPr>
                <w:rFonts w:ascii="Tenorite" w:hAnsi="Tenorite"/>
                <w:sz w:val="24"/>
                <w:szCs w:val="24"/>
              </w:rPr>
              <w:t>EAL students have full access to the full curriculum with additional English/ESOL support where required. EAL students’ programmes will comprise of vocational and academic pathways which are supportive of the students wants and needs to enable them to fulfil their potential and achieve their specific outcomes.</w:t>
            </w:r>
          </w:p>
        </w:tc>
      </w:tr>
      <w:tr w:rsidR="00EC09D8" w:rsidRPr="00EC09D8" w14:paraId="5BEE83BA" w14:textId="77777777" w:rsidTr="00DD3092">
        <w:tc>
          <w:tcPr>
            <w:tcW w:w="9016" w:type="dxa"/>
          </w:tcPr>
          <w:p w14:paraId="3699ACEC" w14:textId="77777777" w:rsidR="00EC09D8" w:rsidRPr="00EC09D8" w:rsidRDefault="00EC09D8" w:rsidP="00EC09D8">
            <w:pPr>
              <w:rPr>
                <w:rFonts w:ascii="Tenorite" w:hAnsi="Tenorite"/>
                <w:b/>
                <w:bCs/>
                <w:sz w:val="24"/>
                <w:szCs w:val="24"/>
              </w:rPr>
            </w:pPr>
            <w:r w:rsidRPr="00EC09D8">
              <w:rPr>
                <w:rFonts w:ascii="Tenorite" w:hAnsi="Tenorite"/>
                <w:b/>
                <w:bCs/>
                <w:sz w:val="24"/>
                <w:szCs w:val="24"/>
              </w:rPr>
              <w:lastRenderedPageBreak/>
              <w:t>8. Assessment and Progress</w:t>
            </w:r>
          </w:p>
          <w:p w14:paraId="0AA981F3" w14:textId="77777777" w:rsidR="00EC09D8" w:rsidRPr="00EC09D8" w:rsidRDefault="00EC09D8" w:rsidP="00EC09D8">
            <w:pPr>
              <w:rPr>
                <w:rFonts w:ascii="Tenorite" w:hAnsi="Tenorite"/>
                <w:sz w:val="24"/>
                <w:szCs w:val="24"/>
              </w:rPr>
            </w:pPr>
            <w:r w:rsidRPr="00EC09D8">
              <w:rPr>
                <w:rFonts w:ascii="Tenorite" w:hAnsi="Tenorite"/>
                <w:sz w:val="24"/>
                <w:szCs w:val="24"/>
              </w:rPr>
              <w:t>Progress is tracked regularly, and interventions are implemented to close achievement gaps.</w:t>
            </w:r>
          </w:p>
          <w:p w14:paraId="3B9EF374" w14:textId="1CE89CA3" w:rsidR="00EC09D8" w:rsidRPr="00EC09D8" w:rsidRDefault="00EC09D8" w:rsidP="00EC09D8">
            <w:pPr>
              <w:rPr>
                <w:rFonts w:ascii="Tenorite" w:hAnsi="Tenorite"/>
                <w:sz w:val="24"/>
                <w:szCs w:val="24"/>
              </w:rPr>
            </w:pPr>
          </w:p>
        </w:tc>
      </w:tr>
      <w:tr w:rsidR="00EC09D8" w:rsidRPr="00EC09D8" w14:paraId="32DACABF" w14:textId="77777777" w:rsidTr="00DD3092">
        <w:tc>
          <w:tcPr>
            <w:tcW w:w="9016" w:type="dxa"/>
          </w:tcPr>
          <w:p w14:paraId="50ADC723"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9. Student Support</w:t>
            </w:r>
          </w:p>
          <w:p w14:paraId="08D92D55" w14:textId="77777777" w:rsidR="00EC09D8" w:rsidRPr="00EC09D8" w:rsidRDefault="00EC09D8" w:rsidP="00EC09D8">
            <w:pPr>
              <w:rPr>
                <w:rFonts w:ascii="Tenorite" w:hAnsi="Tenorite"/>
                <w:sz w:val="24"/>
                <w:szCs w:val="24"/>
              </w:rPr>
            </w:pPr>
            <w:r w:rsidRPr="00EC09D8">
              <w:rPr>
                <w:rFonts w:ascii="Tenorite" w:hAnsi="Tenorite"/>
                <w:sz w:val="24"/>
                <w:szCs w:val="24"/>
              </w:rPr>
              <w:t>Students will receive academic, language, and pastoral support to ensure success.</w:t>
            </w:r>
          </w:p>
          <w:p w14:paraId="61FC9B32" w14:textId="6BD9C85E" w:rsidR="00EC09D8" w:rsidRPr="00EC09D8" w:rsidRDefault="00EC09D8" w:rsidP="00EC09D8">
            <w:pPr>
              <w:rPr>
                <w:rFonts w:ascii="Tenorite" w:hAnsi="Tenorite"/>
                <w:sz w:val="24"/>
                <w:szCs w:val="24"/>
              </w:rPr>
            </w:pPr>
          </w:p>
        </w:tc>
      </w:tr>
      <w:tr w:rsidR="00EC09D8" w:rsidRPr="00EC09D8" w14:paraId="300D3118" w14:textId="77777777" w:rsidTr="00DD3092">
        <w:tc>
          <w:tcPr>
            <w:tcW w:w="9016" w:type="dxa"/>
          </w:tcPr>
          <w:p w14:paraId="4DEC4281"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10. Safeguarding</w:t>
            </w:r>
          </w:p>
          <w:p w14:paraId="4C9EA946" w14:textId="77777777" w:rsidR="00EC09D8" w:rsidRPr="00EC09D8" w:rsidRDefault="00EC09D8" w:rsidP="00EC09D8">
            <w:pPr>
              <w:rPr>
                <w:rFonts w:ascii="Tenorite" w:hAnsi="Tenorite"/>
                <w:sz w:val="24"/>
                <w:szCs w:val="24"/>
              </w:rPr>
            </w:pPr>
            <w:r w:rsidRPr="00EC09D8">
              <w:rPr>
                <w:rFonts w:ascii="Tenorite" w:hAnsi="Tenorite"/>
                <w:sz w:val="24"/>
                <w:szCs w:val="24"/>
              </w:rPr>
              <w:t>All staff must follow Keeping Children Safe in Education (KCSIE) guidance and be aware of EAL learner vulnerabilities.</w:t>
            </w:r>
          </w:p>
          <w:p w14:paraId="2EA5F74E" w14:textId="0EACC756" w:rsidR="00EC09D8" w:rsidRPr="00EC09D8" w:rsidRDefault="00EC09D8" w:rsidP="00EC09D8">
            <w:pPr>
              <w:rPr>
                <w:rFonts w:ascii="Tenorite" w:hAnsi="Tenorite"/>
                <w:sz w:val="24"/>
                <w:szCs w:val="24"/>
              </w:rPr>
            </w:pPr>
          </w:p>
        </w:tc>
      </w:tr>
      <w:tr w:rsidR="00EC09D8" w:rsidRPr="00EC09D8" w14:paraId="7DEFB756" w14:textId="77777777" w:rsidTr="00DD3092">
        <w:tc>
          <w:tcPr>
            <w:tcW w:w="9016" w:type="dxa"/>
          </w:tcPr>
          <w:p w14:paraId="6E20A60A"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11. Equality and Inclusion</w:t>
            </w:r>
          </w:p>
          <w:p w14:paraId="2B4223C7" w14:textId="77777777" w:rsidR="00EC09D8" w:rsidRPr="00EC09D8" w:rsidRDefault="00EC09D8" w:rsidP="00EC09D8">
            <w:pPr>
              <w:rPr>
                <w:rFonts w:ascii="Tenorite" w:hAnsi="Tenorite"/>
                <w:sz w:val="24"/>
                <w:szCs w:val="24"/>
              </w:rPr>
            </w:pPr>
            <w:r w:rsidRPr="00EC09D8">
              <w:rPr>
                <w:rFonts w:ascii="Tenorite" w:hAnsi="Tenorite"/>
                <w:sz w:val="24"/>
                <w:szCs w:val="24"/>
              </w:rPr>
              <w:t>The College promotes equality and complies with the Equality Act 2010.</w:t>
            </w:r>
          </w:p>
          <w:p w14:paraId="48BFB781" w14:textId="7DD0CCE6" w:rsidR="00EC09D8" w:rsidRPr="00EC09D8" w:rsidRDefault="00EC09D8" w:rsidP="00EC09D8">
            <w:pPr>
              <w:rPr>
                <w:rFonts w:ascii="Tenorite" w:hAnsi="Tenorite"/>
                <w:sz w:val="24"/>
                <w:szCs w:val="24"/>
              </w:rPr>
            </w:pPr>
          </w:p>
        </w:tc>
      </w:tr>
      <w:tr w:rsidR="00EC09D8" w:rsidRPr="00EC09D8" w14:paraId="7734F1D9" w14:textId="77777777" w:rsidTr="00DD3092">
        <w:tc>
          <w:tcPr>
            <w:tcW w:w="9016" w:type="dxa"/>
          </w:tcPr>
          <w:p w14:paraId="6CDADF22"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12. Staff Development</w:t>
            </w:r>
          </w:p>
          <w:p w14:paraId="6670F21D" w14:textId="77777777" w:rsidR="00EC09D8" w:rsidRPr="00EC09D8" w:rsidRDefault="00EC09D8" w:rsidP="00EC09D8">
            <w:pPr>
              <w:rPr>
                <w:rFonts w:ascii="Tenorite" w:hAnsi="Tenorite"/>
                <w:sz w:val="24"/>
                <w:szCs w:val="24"/>
              </w:rPr>
            </w:pPr>
            <w:r w:rsidRPr="00EC09D8">
              <w:rPr>
                <w:rFonts w:ascii="Tenorite" w:hAnsi="Tenorite"/>
                <w:sz w:val="24"/>
                <w:szCs w:val="24"/>
              </w:rPr>
              <w:t>Staff will receive ongoing training in EAL strategies and inclusive teaching. Where necessary external support will be sourced to ensure the correct level of individual support is accessed.</w:t>
            </w:r>
          </w:p>
          <w:p w14:paraId="49846574" w14:textId="23635DF7" w:rsidR="00EC09D8" w:rsidRPr="00EC09D8" w:rsidRDefault="00EC09D8" w:rsidP="00EC09D8">
            <w:pPr>
              <w:rPr>
                <w:rFonts w:ascii="Tenorite" w:hAnsi="Tenorite"/>
                <w:sz w:val="24"/>
                <w:szCs w:val="24"/>
              </w:rPr>
            </w:pPr>
          </w:p>
        </w:tc>
      </w:tr>
      <w:tr w:rsidR="00EC09D8" w:rsidRPr="00EC09D8" w14:paraId="39D99E1D" w14:textId="77777777" w:rsidTr="00DD3092">
        <w:tc>
          <w:tcPr>
            <w:tcW w:w="9016" w:type="dxa"/>
          </w:tcPr>
          <w:p w14:paraId="3C12CFAB" w14:textId="77777777" w:rsidR="00EC09D8" w:rsidRPr="00EC09D8" w:rsidRDefault="00EC09D8" w:rsidP="00EC09D8">
            <w:pPr>
              <w:rPr>
                <w:rFonts w:ascii="Tenorite" w:hAnsi="Tenorite"/>
                <w:b/>
                <w:bCs/>
                <w:sz w:val="24"/>
                <w:szCs w:val="24"/>
              </w:rPr>
            </w:pPr>
            <w:r w:rsidRPr="00EC09D8">
              <w:rPr>
                <w:rFonts w:ascii="Tenorite" w:hAnsi="Tenorite"/>
                <w:b/>
                <w:bCs/>
                <w:sz w:val="24"/>
                <w:szCs w:val="24"/>
              </w:rPr>
              <w:t>13. Quality Assurance</w:t>
            </w:r>
          </w:p>
          <w:p w14:paraId="5D40DEFE" w14:textId="77777777" w:rsidR="00EC09D8" w:rsidRPr="00EC09D8" w:rsidRDefault="00EC09D8" w:rsidP="00EC09D8">
            <w:pPr>
              <w:rPr>
                <w:rFonts w:ascii="Tenorite" w:hAnsi="Tenorite"/>
                <w:sz w:val="24"/>
                <w:szCs w:val="24"/>
              </w:rPr>
            </w:pPr>
            <w:r w:rsidRPr="00EC09D8">
              <w:rPr>
                <w:rFonts w:ascii="Tenorite" w:hAnsi="Tenorite"/>
                <w:sz w:val="24"/>
                <w:szCs w:val="24"/>
              </w:rPr>
              <w:t>Monitoring includes observations, feedback, and data analysis to ensure continuous improvement.</w:t>
            </w:r>
          </w:p>
          <w:p w14:paraId="4A40FA92" w14:textId="370E7BA3" w:rsidR="00EC09D8" w:rsidRPr="00EC09D8" w:rsidRDefault="00EC09D8" w:rsidP="00EC09D8">
            <w:pPr>
              <w:rPr>
                <w:rFonts w:ascii="Tenorite" w:hAnsi="Tenorite"/>
                <w:sz w:val="24"/>
                <w:szCs w:val="24"/>
              </w:rPr>
            </w:pPr>
          </w:p>
        </w:tc>
      </w:tr>
      <w:tr w:rsidR="00EC09D8" w:rsidRPr="00EC09D8" w14:paraId="709E318D" w14:textId="77777777" w:rsidTr="00DD3092">
        <w:tc>
          <w:tcPr>
            <w:tcW w:w="9016" w:type="dxa"/>
          </w:tcPr>
          <w:p w14:paraId="6662F13D" w14:textId="77777777" w:rsidR="00EC09D8" w:rsidRPr="00EC09D8" w:rsidRDefault="00EC09D8" w:rsidP="00EC09D8">
            <w:pPr>
              <w:pStyle w:val="NoSpacing"/>
              <w:rPr>
                <w:rFonts w:ascii="Tenorite" w:hAnsi="Tenorite"/>
                <w:b/>
                <w:bCs/>
                <w:sz w:val="24"/>
                <w:szCs w:val="24"/>
              </w:rPr>
            </w:pPr>
            <w:r w:rsidRPr="00EC09D8">
              <w:rPr>
                <w:rFonts w:ascii="Tenorite" w:hAnsi="Tenorite"/>
                <w:b/>
                <w:bCs/>
                <w:sz w:val="24"/>
                <w:szCs w:val="24"/>
              </w:rPr>
              <w:t>14. Review</w:t>
            </w:r>
          </w:p>
          <w:p w14:paraId="34753180" w14:textId="77777777" w:rsidR="00EC09D8" w:rsidRPr="00EC09D8" w:rsidRDefault="00EC09D8" w:rsidP="00EC09D8">
            <w:pPr>
              <w:rPr>
                <w:rFonts w:ascii="Tenorite" w:hAnsi="Tenorite"/>
                <w:sz w:val="24"/>
                <w:szCs w:val="24"/>
              </w:rPr>
            </w:pPr>
            <w:r w:rsidRPr="00EC09D8">
              <w:rPr>
                <w:rFonts w:ascii="Tenorite" w:hAnsi="Tenorite"/>
                <w:sz w:val="24"/>
                <w:szCs w:val="24"/>
              </w:rPr>
              <w:t>This policy will be reviewed annually.</w:t>
            </w:r>
          </w:p>
          <w:p w14:paraId="377DCFEB" w14:textId="1CB7AAF0" w:rsidR="00EC09D8" w:rsidRPr="00EC09D8" w:rsidRDefault="00EC09D8" w:rsidP="00EC09D8">
            <w:pPr>
              <w:rPr>
                <w:rFonts w:ascii="Tenorite" w:hAnsi="Tenorite"/>
                <w:sz w:val="24"/>
                <w:szCs w:val="24"/>
              </w:rPr>
            </w:pPr>
          </w:p>
        </w:tc>
      </w:tr>
      <w:tr w:rsidR="00876E21" w:rsidRPr="00EC09D8" w14:paraId="55DAA14F" w14:textId="77777777" w:rsidTr="00DD3092">
        <w:tc>
          <w:tcPr>
            <w:tcW w:w="9016" w:type="dxa"/>
            <w:hideMark/>
          </w:tcPr>
          <w:p w14:paraId="44824D41" w14:textId="43690E16" w:rsidR="00B90983" w:rsidRPr="00EC09D8" w:rsidRDefault="00B90983" w:rsidP="00B90983">
            <w:pPr>
              <w:rPr>
                <w:rFonts w:ascii="Tenorite" w:hAnsi="Tenorite"/>
                <w:b/>
                <w:sz w:val="24"/>
                <w:szCs w:val="24"/>
              </w:rPr>
            </w:pPr>
          </w:p>
        </w:tc>
      </w:tr>
    </w:tbl>
    <w:p w14:paraId="0911067E" w14:textId="77777777" w:rsidR="001B6AA9" w:rsidRPr="00EC09D8" w:rsidRDefault="001B6AA9" w:rsidP="0035739E">
      <w:pPr>
        <w:rPr>
          <w:rFonts w:ascii="Tenorite" w:hAnsi="Tenorite" w:cs="Tahoma"/>
          <w:b/>
          <w:sz w:val="24"/>
          <w:szCs w:val="24"/>
        </w:rPr>
      </w:pPr>
    </w:p>
    <w:p w14:paraId="2EFF265B" w14:textId="28817277" w:rsidR="0035739E" w:rsidRPr="00EC09D8" w:rsidRDefault="0035739E" w:rsidP="0035739E">
      <w:pPr>
        <w:rPr>
          <w:rFonts w:ascii="Tenorite" w:hAnsi="Tenorite"/>
          <w:sz w:val="24"/>
          <w:szCs w:val="24"/>
        </w:rPr>
      </w:pPr>
      <w:r w:rsidRPr="00EC09D8">
        <w:rPr>
          <w:rFonts w:ascii="Tenorite" w:hAnsi="Tenorite" w:cs="Tahoma"/>
          <w:b/>
          <w:sz w:val="24"/>
          <w:szCs w:val="24"/>
        </w:rPr>
        <w:t>Local Procedure Review History</w:t>
      </w:r>
      <w:r w:rsidRPr="00EC09D8">
        <w:rPr>
          <w:rFonts w:ascii="Tenorite" w:hAnsi="Tenorite" w:cs="Tahoma"/>
          <w:b/>
          <w:sz w:val="24"/>
          <w:szCs w:val="24"/>
          <w:lang w:eastAsia="en-GB"/>
        </w:rPr>
        <w:t>:</w:t>
      </w:r>
    </w:p>
    <w:tbl>
      <w:tblPr>
        <w:tblStyle w:val="TableGrid"/>
        <w:tblW w:w="0" w:type="auto"/>
        <w:tblLook w:val="04A0" w:firstRow="1" w:lastRow="0" w:firstColumn="1" w:lastColumn="0" w:noHBand="0" w:noVBand="1"/>
      </w:tblPr>
      <w:tblGrid>
        <w:gridCol w:w="3006"/>
        <w:gridCol w:w="3004"/>
        <w:gridCol w:w="3006"/>
      </w:tblGrid>
      <w:tr w:rsidR="0035739E" w:rsidRPr="00EC09D8" w14:paraId="470BB65F" w14:textId="77777777" w:rsidTr="00A61812">
        <w:tc>
          <w:tcPr>
            <w:tcW w:w="3080" w:type="dxa"/>
            <w:shd w:val="clear" w:color="auto" w:fill="C6D9F1" w:themeFill="text2" w:themeFillTint="33"/>
          </w:tcPr>
          <w:p w14:paraId="0D6F3AB7" w14:textId="77777777" w:rsidR="0035739E" w:rsidRPr="00EC09D8" w:rsidRDefault="0035739E" w:rsidP="00A61812">
            <w:pPr>
              <w:rPr>
                <w:rFonts w:ascii="Tenorite" w:hAnsi="Tenorite" w:cs="Tahoma"/>
                <w:b/>
                <w:sz w:val="24"/>
                <w:szCs w:val="24"/>
                <w:lang w:eastAsia="en-GB"/>
              </w:rPr>
            </w:pPr>
            <w:r w:rsidRPr="00EC09D8">
              <w:rPr>
                <w:rFonts w:ascii="Tenorite" w:hAnsi="Tenorite" w:cs="Tahoma"/>
                <w:b/>
                <w:sz w:val="24"/>
                <w:szCs w:val="24"/>
                <w:lang w:eastAsia="en-GB"/>
              </w:rPr>
              <w:t>Date Reviewed</w:t>
            </w:r>
          </w:p>
        </w:tc>
        <w:tc>
          <w:tcPr>
            <w:tcW w:w="3081" w:type="dxa"/>
            <w:shd w:val="clear" w:color="auto" w:fill="C6D9F1" w:themeFill="text2" w:themeFillTint="33"/>
          </w:tcPr>
          <w:p w14:paraId="7F2C4728" w14:textId="77777777" w:rsidR="0035739E" w:rsidRPr="00EC09D8" w:rsidRDefault="0035739E" w:rsidP="00A61812">
            <w:pPr>
              <w:rPr>
                <w:rFonts w:ascii="Tenorite" w:hAnsi="Tenorite" w:cs="Tahoma"/>
                <w:b/>
                <w:sz w:val="24"/>
                <w:szCs w:val="24"/>
                <w:lang w:eastAsia="en-GB"/>
              </w:rPr>
            </w:pPr>
            <w:r w:rsidRPr="00EC09D8">
              <w:rPr>
                <w:rFonts w:ascii="Tenorite" w:hAnsi="Tenorite" w:cs="Tahoma"/>
                <w:b/>
                <w:sz w:val="24"/>
                <w:szCs w:val="24"/>
                <w:lang w:eastAsia="en-GB"/>
              </w:rPr>
              <w:t xml:space="preserve">Reviewer </w:t>
            </w:r>
          </w:p>
        </w:tc>
        <w:tc>
          <w:tcPr>
            <w:tcW w:w="3081" w:type="dxa"/>
            <w:shd w:val="clear" w:color="auto" w:fill="C6D9F1" w:themeFill="text2" w:themeFillTint="33"/>
          </w:tcPr>
          <w:p w14:paraId="60B2D113" w14:textId="77777777" w:rsidR="0035739E" w:rsidRPr="00EC09D8" w:rsidRDefault="0035739E" w:rsidP="00A61812">
            <w:pPr>
              <w:rPr>
                <w:rFonts w:ascii="Tenorite" w:hAnsi="Tenorite" w:cs="Tahoma"/>
                <w:b/>
                <w:sz w:val="24"/>
                <w:szCs w:val="24"/>
                <w:lang w:eastAsia="en-GB"/>
              </w:rPr>
            </w:pPr>
            <w:r w:rsidRPr="00EC09D8">
              <w:rPr>
                <w:rFonts w:ascii="Tenorite" w:hAnsi="Tenorite" w:cs="Tahoma"/>
                <w:b/>
                <w:sz w:val="24"/>
                <w:szCs w:val="24"/>
                <w:lang w:eastAsia="en-GB"/>
              </w:rPr>
              <w:t>Summary of revisions</w:t>
            </w:r>
          </w:p>
        </w:tc>
      </w:tr>
      <w:tr w:rsidR="0035739E" w:rsidRPr="00EC09D8" w14:paraId="46953C40" w14:textId="77777777" w:rsidTr="00A61812">
        <w:tc>
          <w:tcPr>
            <w:tcW w:w="3080" w:type="dxa"/>
          </w:tcPr>
          <w:p w14:paraId="276026A4" w14:textId="77777777" w:rsidR="0035739E" w:rsidRPr="00EC09D8" w:rsidRDefault="0035739E" w:rsidP="00A61812">
            <w:pPr>
              <w:rPr>
                <w:rFonts w:ascii="Tenorite" w:hAnsi="Tenorite" w:cs="Tahoma"/>
                <w:sz w:val="24"/>
                <w:szCs w:val="24"/>
                <w:lang w:eastAsia="en-GB"/>
              </w:rPr>
            </w:pPr>
          </w:p>
        </w:tc>
        <w:tc>
          <w:tcPr>
            <w:tcW w:w="3081" w:type="dxa"/>
          </w:tcPr>
          <w:p w14:paraId="2EB72A09" w14:textId="70454C43" w:rsidR="0035739E" w:rsidRPr="00EC09D8" w:rsidRDefault="0035739E" w:rsidP="00A61812">
            <w:pPr>
              <w:rPr>
                <w:rFonts w:ascii="Tenorite" w:hAnsi="Tenorite" w:cs="Tahoma"/>
                <w:sz w:val="24"/>
                <w:szCs w:val="24"/>
                <w:lang w:eastAsia="en-GB"/>
              </w:rPr>
            </w:pPr>
          </w:p>
        </w:tc>
        <w:tc>
          <w:tcPr>
            <w:tcW w:w="3081" w:type="dxa"/>
          </w:tcPr>
          <w:p w14:paraId="43D4678C" w14:textId="77777777" w:rsidR="0035739E" w:rsidRPr="00EC09D8" w:rsidRDefault="0035739E" w:rsidP="00A61812">
            <w:pPr>
              <w:rPr>
                <w:rFonts w:ascii="Tenorite" w:hAnsi="Tenorite" w:cs="Tahoma"/>
                <w:sz w:val="24"/>
                <w:szCs w:val="24"/>
                <w:lang w:eastAsia="en-GB"/>
              </w:rPr>
            </w:pPr>
          </w:p>
        </w:tc>
      </w:tr>
      <w:tr w:rsidR="0035739E" w:rsidRPr="00EC09D8" w14:paraId="33C7A1DD" w14:textId="77777777" w:rsidTr="00A61812">
        <w:tc>
          <w:tcPr>
            <w:tcW w:w="3080" w:type="dxa"/>
          </w:tcPr>
          <w:p w14:paraId="66354DA5" w14:textId="77777777" w:rsidR="0035739E" w:rsidRPr="00EC09D8" w:rsidRDefault="0035739E" w:rsidP="00A61812">
            <w:pPr>
              <w:rPr>
                <w:rFonts w:ascii="Tenorite" w:hAnsi="Tenorite" w:cs="Tahoma"/>
                <w:sz w:val="24"/>
                <w:szCs w:val="24"/>
                <w:lang w:eastAsia="en-GB"/>
              </w:rPr>
            </w:pPr>
          </w:p>
        </w:tc>
        <w:tc>
          <w:tcPr>
            <w:tcW w:w="3081" w:type="dxa"/>
          </w:tcPr>
          <w:p w14:paraId="25F0B073" w14:textId="77777777" w:rsidR="0035739E" w:rsidRPr="00EC09D8" w:rsidRDefault="0035739E" w:rsidP="00A61812">
            <w:pPr>
              <w:rPr>
                <w:rFonts w:ascii="Tenorite" w:hAnsi="Tenorite" w:cs="Tahoma"/>
                <w:sz w:val="24"/>
                <w:szCs w:val="24"/>
                <w:lang w:eastAsia="en-GB"/>
              </w:rPr>
            </w:pPr>
          </w:p>
        </w:tc>
        <w:tc>
          <w:tcPr>
            <w:tcW w:w="3081" w:type="dxa"/>
          </w:tcPr>
          <w:p w14:paraId="1DADE8C5" w14:textId="77777777" w:rsidR="0035739E" w:rsidRPr="00EC09D8" w:rsidRDefault="0035739E" w:rsidP="00A61812">
            <w:pPr>
              <w:rPr>
                <w:rFonts w:ascii="Tenorite" w:hAnsi="Tenorite" w:cs="Tahoma"/>
                <w:sz w:val="24"/>
                <w:szCs w:val="24"/>
                <w:lang w:eastAsia="en-GB"/>
              </w:rPr>
            </w:pPr>
          </w:p>
        </w:tc>
      </w:tr>
      <w:tr w:rsidR="0035739E" w:rsidRPr="00EC09D8" w14:paraId="31309173" w14:textId="77777777" w:rsidTr="00A61812">
        <w:tc>
          <w:tcPr>
            <w:tcW w:w="3080" w:type="dxa"/>
          </w:tcPr>
          <w:p w14:paraId="0C995C07" w14:textId="77777777" w:rsidR="0035739E" w:rsidRPr="00EC09D8" w:rsidRDefault="0035739E" w:rsidP="00A61812">
            <w:pPr>
              <w:rPr>
                <w:rFonts w:ascii="Tenorite" w:hAnsi="Tenorite" w:cs="Tahoma"/>
                <w:sz w:val="24"/>
                <w:szCs w:val="24"/>
                <w:lang w:eastAsia="en-GB"/>
              </w:rPr>
            </w:pPr>
          </w:p>
        </w:tc>
        <w:tc>
          <w:tcPr>
            <w:tcW w:w="3081" w:type="dxa"/>
          </w:tcPr>
          <w:p w14:paraId="726C299E" w14:textId="77777777" w:rsidR="0035739E" w:rsidRPr="00EC09D8" w:rsidRDefault="0035739E" w:rsidP="00A61812">
            <w:pPr>
              <w:rPr>
                <w:rFonts w:ascii="Tenorite" w:hAnsi="Tenorite" w:cs="Tahoma"/>
                <w:sz w:val="24"/>
                <w:szCs w:val="24"/>
                <w:lang w:eastAsia="en-GB"/>
              </w:rPr>
            </w:pPr>
          </w:p>
        </w:tc>
        <w:tc>
          <w:tcPr>
            <w:tcW w:w="3081" w:type="dxa"/>
          </w:tcPr>
          <w:p w14:paraId="3A8591A1" w14:textId="77777777" w:rsidR="0035739E" w:rsidRPr="00EC09D8" w:rsidRDefault="0035739E" w:rsidP="00A61812">
            <w:pPr>
              <w:rPr>
                <w:rFonts w:ascii="Tenorite" w:hAnsi="Tenorite" w:cs="Tahoma"/>
                <w:sz w:val="24"/>
                <w:szCs w:val="24"/>
                <w:lang w:eastAsia="en-GB"/>
              </w:rPr>
            </w:pPr>
          </w:p>
        </w:tc>
      </w:tr>
      <w:tr w:rsidR="0035739E" w:rsidRPr="00EC09D8" w14:paraId="416A0E88" w14:textId="77777777" w:rsidTr="00A61812">
        <w:tc>
          <w:tcPr>
            <w:tcW w:w="3080" w:type="dxa"/>
          </w:tcPr>
          <w:p w14:paraId="2F48B8F4" w14:textId="77777777" w:rsidR="0035739E" w:rsidRPr="00EC09D8" w:rsidRDefault="0035739E" w:rsidP="00A61812">
            <w:pPr>
              <w:rPr>
                <w:rFonts w:ascii="Tenorite" w:hAnsi="Tenorite" w:cs="Tahoma"/>
                <w:sz w:val="24"/>
                <w:szCs w:val="24"/>
                <w:lang w:eastAsia="en-GB"/>
              </w:rPr>
            </w:pPr>
          </w:p>
        </w:tc>
        <w:tc>
          <w:tcPr>
            <w:tcW w:w="3081" w:type="dxa"/>
          </w:tcPr>
          <w:p w14:paraId="13EC29C2" w14:textId="77777777" w:rsidR="0035739E" w:rsidRPr="00EC09D8" w:rsidRDefault="0035739E" w:rsidP="00A61812">
            <w:pPr>
              <w:rPr>
                <w:rFonts w:ascii="Tenorite" w:hAnsi="Tenorite" w:cs="Tahoma"/>
                <w:sz w:val="24"/>
                <w:szCs w:val="24"/>
                <w:lang w:eastAsia="en-GB"/>
              </w:rPr>
            </w:pPr>
          </w:p>
        </w:tc>
        <w:tc>
          <w:tcPr>
            <w:tcW w:w="3081" w:type="dxa"/>
          </w:tcPr>
          <w:p w14:paraId="660AA508" w14:textId="77777777" w:rsidR="0035739E" w:rsidRPr="00EC09D8" w:rsidRDefault="0035739E" w:rsidP="00A61812">
            <w:pPr>
              <w:rPr>
                <w:rFonts w:ascii="Tenorite" w:hAnsi="Tenorite" w:cs="Tahoma"/>
                <w:sz w:val="24"/>
                <w:szCs w:val="24"/>
                <w:lang w:eastAsia="en-GB"/>
              </w:rPr>
            </w:pPr>
          </w:p>
        </w:tc>
      </w:tr>
      <w:tr w:rsidR="0035739E" w:rsidRPr="00EC09D8" w14:paraId="7910C349" w14:textId="77777777" w:rsidTr="00A61812">
        <w:tc>
          <w:tcPr>
            <w:tcW w:w="3080" w:type="dxa"/>
          </w:tcPr>
          <w:p w14:paraId="1CBC3D18" w14:textId="77777777" w:rsidR="0035739E" w:rsidRPr="00EC09D8" w:rsidRDefault="0035739E" w:rsidP="00A61812">
            <w:pPr>
              <w:rPr>
                <w:rFonts w:ascii="Tenorite" w:hAnsi="Tenorite" w:cs="Tahoma"/>
                <w:sz w:val="24"/>
                <w:szCs w:val="24"/>
                <w:lang w:eastAsia="en-GB"/>
              </w:rPr>
            </w:pPr>
          </w:p>
        </w:tc>
        <w:tc>
          <w:tcPr>
            <w:tcW w:w="3081" w:type="dxa"/>
          </w:tcPr>
          <w:p w14:paraId="7C807258" w14:textId="77777777" w:rsidR="0035739E" w:rsidRPr="00EC09D8" w:rsidRDefault="0035739E" w:rsidP="00A61812">
            <w:pPr>
              <w:rPr>
                <w:rFonts w:ascii="Tenorite" w:hAnsi="Tenorite" w:cs="Tahoma"/>
                <w:sz w:val="24"/>
                <w:szCs w:val="24"/>
                <w:lang w:eastAsia="en-GB"/>
              </w:rPr>
            </w:pPr>
          </w:p>
        </w:tc>
        <w:tc>
          <w:tcPr>
            <w:tcW w:w="3081" w:type="dxa"/>
          </w:tcPr>
          <w:p w14:paraId="66AF95C0" w14:textId="77777777" w:rsidR="0035739E" w:rsidRPr="00EC09D8" w:rsidRDefault="0035739E" w:rsidP="00A61812">
            <w:pPr>
              <w:rPr>
                <w:rFonts w:ascii="Tenorite" w:hAnsi="Tenorite" w:cs="Tahoma"/>
                <w:sz w:val="24"/>
                <w:szCs w:val="24"/>
                <w:lang w:eastAsia="en-GB"/>
              </w:rPr>
            </w:pPr>
          </w:p>
        </w:tc>
      </w:tr>
      <w:tr w:rsidR="0035739E" w:rsidRPr="00EC09D8" w14:paraId="0609680B" w14:textId="77777777" w:rsidTr="00A61812">
        <w:tc>
          <w:tcPr>
            <w:tcW w:w="3080" w:type="dxa"/>
          </w:tcPr>
          <w:p w14:paraId="1320ADE0" w14:textId="77777777" w:rsidR="0035739E" w:rsidRPr="00EC09D8" w:rsidRDefault="0035739E" w:rsidP="00A61812">
            <w:pPr>
              <w:rPr>
                <w:rFonts w:ascii="Tenorite" w:hAnsi="Tenorite" w:cs="Tahoma"/>
                <w:sz w:val="24"/>
                <w:szCs w:val="24"/>
                <w:lang w:eastAsia="en-GB"/>
              </w:rPr>
            </w:pPr>
          </w:p>
        </w:tc>
        <w:tc>
          <w:tcPr>
            <w:tcW w:w="3081" w:type="dxa"/>
          </w:tcPr>
          <w:p w14:paraId="67BB22A5" w14:textId="77777777" w:rsidR="0035739E" w:rsidRPr="00EC09D8" w:rsidRDefault="0035739E" w:rsidP="00A61812">
            <w:pPr>
              <w:rPr>
                <w:rFonts w:ascii="Tenorite" w:hAnsi="Tenorite" w:cs="Tahoma"/>
                <w:sz w:val="24"/>
                <w:szCs w:val="24"/>
                <w:lang w:eastAsia="en-GB"/>
              </w:rPr>
            </w:pPr>
          </w:p>
        </w:tc>
        <w:tc>
          <w:tcPr>
            <w:tcW w:w="3081" w:type="dxa"/>
          </w:tcPr>
          <w:p w14:paraId="112CFD98" w14:textId="77777777" w:rsidR="0035739E" w:rsidRPr="00EC09D8" w:rsidRDefault="0035739E" w:rsidP="00A61812">
            <w:pPr>
              <w:rPr>
                <w:rFonts w:ascii="Tenorite" w:hAnsi="Tenorite" w:cs="Tahoma"/>
                <w:sz w:val="24"/>
                <w:szCs w:val="24"/>
                <w:lang w:eastAsia="en-GB"/>
              </w:rPr>
            </w:pPr>
          </w:p>
        </w:tc>
      </w:tr>
      <w:tr w:rsidR="0035739E" w:rsidRPr="00EC09D8" w14:paraId="54CC1C6B" w14:textId="77777777" w:rsidTr="00A61812">
        <w:tc>
          <w:tcPr>
            <w:tcW w:w="3080" w:type="dxa"/>
          </w:tcPr>
          <w:p w14:paraId="31E92DD6" w14:textId="77777777" w:rsidR="0035739E" w:rsidRPr="00EC09D8" w:rsidRDefault="0035739E" w:rsidP="00A61812">
            <w:pPr>
              <w:rPr>
                <w:rFonts w:ascii="Tenorite" w:hAnsi="Tenorite" w:cs="Tahoma"/>
                <w:sz w:val="24"/>
                <w:szCs w:val="24"/>
                <w:lang w:eastAsia="en-GB"/>
              </w:rPr>
            </w:pPr>
          </w:p>
        </w:tc>
        <w:tc>
          <w:tcPr>
            <w:tcW w:w="3081" w:type="dxa"/>
          </w:tcPr>
          <w:p w14:paraId="59903B4A" w14:textId="77777777" w:rsidR="0035739E" w:rsidRPr="00EC09D8" w:rsidRDefault="0035739E" w:rsidP="00A61812">
            <w:pPr>
              <w:rPr>
                <w:rFonts w:ascii="Tenorite" w:hAnsi="Tenorite" w:cs="Tahoma"/>
                <w:sz w:val="24"/>
                <w:szCs w:val="24"/>
                <w:lang w:eastAsia="en-GB"/>
              </w:rPr>
            </w:pPr>
          </w:p>
        </w:tc>
        <w:tc>
          <w:tcPr>
            <w:tcW w:w="3081" w:type="dxa"/>
          </w:tcPr>
          <w:p w14:paraId="0D3F69D7" w14:textId="77777777" w:rsidR="0035739E" w:rsidRPr="00EC09D8" w:rsidRDefault="0035739E" w:rsidP="00A61812">
            <w:pPr>
              <w:rPr>
                <w:rFonts w:ascii="Tenorite" w:hAnsi="Tenorite" w:cs="Tahoma"/>
                <w:sz w:val="24"/>
                <w:szCs w:val="24"/>
                <w:lang w:eastAsia="en-GB"/>
              </w:rPr>
            </w:pPr>
          </w:p>
        </w:tc>
      </w:tr>
    </w:tbl>
    <w:p w14:paraId="1B06768D" w14:textId="77777777" w:rsidR="0035739E" w:rsidRPr="00876E21" w:rsidRDefault="0035739E" w:rsidP="0035739E">
      <w:pPr>
        <w:rPr>
          <w:rFonts w:ascii="Tahoma" w:hAnsi="Tahoma" w:cs="Tahoma"/>
          <w:sz w:val="20"/>
          <w:szCs w:val="20"/>
        </w:rPr>
      </w:pPr>
    </w:p>
    <w:p w14:paraId="61FEB7A4" w14:textId="77777777" w:rsidR="00867FA6" w:rsidRPr="00876E21" w:rsidRDefault="00867FA6">
      <w:pPr>
        <w:rPr>
          <w:rFonts w:ascii="Tahoma" w:hAnsi="Tahoma" w:cs="Tahoma"/>
          <w:sz w:val="20"/>
          <w:szCs w:val="20"/>
        </w:rPr>
      </w:pPr>
    </w:p>
    <w:sectPr w:rsidR="00867FA6" w:rsidRPr="00876E21" w:rsidSect="0021558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BB76" w14:textId="77777777" w:rsidR="00817E56" w:rsidRDefault="00817E56">
      <w:pPr>
        <w:spacing w:after="0" w:line="240" w:lineRule="auto"/>
      </w:pPr>
      <w:r>
        <w:separator/>
      </w:r>
    </w:p>
  </w:endnote>
  <w:endnote w:type="continuationSeparator" w:id="0">
    <w:p w14:paraId="09193BE4" w14:textId="77777777" w:rsidR="00817E56" w:rsidRDefault="0081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1FF5" w14:textId="77777777" w:rsidR="00876E21" w:rsidRPr="004C0F0F" w:rsidRDefault="00876E21" w:rsidP="00876E2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054B4F">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54B4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03</w:t>
    </w:r>
  </w:p>
  <w:p w14:paraId="5B96E620" w14:textId="650319D7" w:rsidR="00876E21" w:rsidRPr="00C20A5B" w:rsidRDefault="00054B4F" w:rsidP="00876E21">
    <w:pPr>
      <w:pStyle w:val="Footer"/>
      <w:ind w:right="-186"/>
    </w:pPr>
    <w:r>
      <w:rPr>
        <w:rFonts w:ascii="Tahoma" w:hAnsi="Tahoma" w:cs="Tahoma"/>
        <w:sz w:val="16"/>
        <w:szCs w:val="16"/>
      </w:rPr>
      <w:t>Aspris</w:t>
    </w:r>
    <w:r w:rsidR="00876E21" w:rsidRPr="004C0F0F">
      <w:rPr>
        <w:rFonts w:ascii="Tahoma" w:hAnsi="Tahoma" w:cs="Tahoma"/>
        <w:sz w:val="16"/>
        <w:szCs w:val="16"/>
      </w:rPr>
      <w:t xml:space="preserve"> Children’s Services – </w:t>
    </w:r>
    <w:r>
      <w:rPr>
        <w:rFonts w:ascii="Tahoma" w:hAnsi="Tahoma" w:cs="Tahoma"/>
        <w:sz w:val="16"/>
        <w:szCs w:val="16"/>
      </w:rPr>
      <w:t>V0</w:t>
    </w:r>
    <w:r w:rsidR="00683D8F">
      <w:rPr>
        <w:rFonts w:ascii="Tahoma" w:hAnsi="Tahoma" w:cs="Tahoma"/>
        <w:sz w:val="16"/>
        <w:szCs w:val="16"/>
      </w:rPr>
      <w:t>3</w:t>
    </w:r>
    <w:r w:rsidR="00876E21" w:rsidRPr="004C0F0F">
      <w:rPr>
        <w:rFonts w:ascii="Tahoma" w:hAnsi="Tahoma" w:cs="Tahoma"/>
        <w:sz w:val="16"/>
        <w:szCs w:val="16"/>
      </w:rPr>
      <w:t xml:space="preserve"> </w:t>
    </w:r>
    <w:r w:rsidR="00876E21" w:rsidRPr="004C0F0F">
      <w:rPr>
        <w:rFonts w:ascii="Tahoma" w:hAnsi="Tahoma" w:cs="Tahoma"/>
        <w:color w:val="000000"/>
        <w:sz w:val="16"/>
        <w:szCs w:val="16"/>
      </w:rPr>
      <w:t xml:space="preserve">– </w:t>
    </w:r>
    <w:r w:rsidR="00EC09D8">
      <w:rPr>
        <w:rFonts w:ascii="Tahoma" w:hAnsi="Tahoma" w:cs="Tahoma"/>
        <w:color w:val="000000"/>
        <w:sz w:val="16"/>
        <w:szCs w:val="16"/>
      </w:rPr>
      <w:t>April 2026</w:t>
    </w:r>
    <w:r w:rsidR="00876E21">
      <w:rPr>
        <w:rFonts w:ascii="Tahoma" w:hAnsi="Tahoma" w:cs="Tahoma"/>
        <w:color w:val="000000"/>
        <w:sz w:val="16"/>
        <w:szCs w:val="16"/>
      </w:rPr>
      <w:t xml:space="preserve"> </w:t>
    </w:r>
    <w:r w:rsidR="00876E21">
      <w:rPr>
        <w:rFonts w:ascii="Tahoma" w:hAnsi="Tahoma" w:cs="Tahoma"/>
        <w:color w:val="000000"/>
        <w:sz w:val="16"/>
        <w:szCs w:val="16"/>
      </w:rPr>
      <w:tab/>
    </w:r>
    <w:r w:rsidR="00876E21" w:rsidRPr="004C0F0F">
      <w:rPr>
        <w:rFonts w:ascii="Tahoma" w:hAnsi="Tahoma" w:cs="Tahoma"/>
        <w:sz w:val="16"/>
      </w:rPr>
      <w:t xml:space="preserve"> </w:t>
    </w:r>
    <w:r w:rsidR="00876E21">
      <w:rPr>
        <w:rFonts w:ascii="Tahoma" w:hAnsi="Tahoma" w:cs="Tahoma"/>
        <w:sz w:val="16"/>
      </w:rPr>
      <w:tab/>
    </w:r>
    <w:r w:rsidR="00876E21" w:rsidRPr="00C20A5B">
      <w:rPr>
        <w:rFonts w:ascii="Tahoma" w:hAnsi="Tahoma" w:cs="Tahoma"/>
        <w:sz w:val="16"/>
      </w:rPr>
      <w:t xml:space="preserve">Page </w:t>
    </w:r>
    <w:r w:rsidR="00876E21" w:rsidRPr="00C20A5B">
      <w:rPr>
        <w:rStyle w:val="PageNumber"/>
        <w:rFonts w:ascii="Tahoma" w:hAnsi="Tahoma" w:cs="Tahoma"/>
        <w:sz w:val="16"/>
      </w:rPr>
      <w:fldChar w:fldCharType="begin"/>
    </w:r>
    <w:r w:rsidR="00876E21" w:rsidRPr="00C20A5B">
      <w:rPr>
        <w:rStyle w:val="PageNumber"/>
        <w:rFonts w:ascii="Tahoma" w:hAnsi="Tahoma" w:cs="Tahoma"/>
        <w:sz w:val="16"/>
      </w:rPr>
      <w:instrText xml:space="preserve"> PAGE </w:instrText>
    </w:r>
    <w:r w:rsidR="00876E21" w:rsidRPr="00C20A5B">
      <w:rPr>
        <w:rStyle w:val="PageNumber"/>
        <w:rFonts w:ascii="Tahoma" w:hAnsi="Tahoma" w:cs="Tahoma"/>
        <w:sz w:val="16"/>
      </w:rPr>
      <w:fldChar w:fldCharType="separate"/>
    </w:r>
    <w:r>
      <w:rPr>
        <w:rStyle w:val="PageNumber"/>
        <w:rFonts w:ascii="Tahoma" w:hAnsi="Tahoma" w:cs="Tahoma"/>
        <w:noProof/>
        <w:sz w:val="16"/>
      </w:rPr>
      <w:t>1</w:t>
    </w:r>
    <w:r w:rsidR="00876E21" w:rsidRPr="00C20A5B">
      <w:rPr>
        <w:rStyle w:val="PageNumber"/>
        <w:rFonts w:ascii="Tahoma" w:hAnsi="Tahoma" w:cs="Tahoma"/>
        <w:sz w:val="16"/>
      </w:rPr>
      <w:fldChar w:fldCharType="end"/>
    </w:r>
    <w:r w:rsidR="00876E21" w:rsidRPr="00C20A5B">
      <w:rPr>
        <w:rFonts w:ascii="Tahoma" w:hAnsi="Tahoma" w:cs="Tahoma"/>
        <w:sz w:val="16"/>
      </w:rPr>
      <w:t xml:space="preserve"> of </w:t>
    </w:r>
    <w:r w:rsidR="00876E21" w:rsidRPr="00C20A5B">
      <w:rPr>
        <w:rFonts w:ascii="Tahoma" w:hAnsi="Tahoma" w:cs="Tahoma"/>
        <w:sz w:val="16"/>
        <w:szCs w:val="16"/>
      </w:rPr>
      <w:fldChar w:fldCharType="begin"/>
    </w:r>
    <w:r w:rsidR="00876E21" w:rsidRPr="00C20A5B">
      <w:rPr>
        <w:rFonts w:ascii="Tahoma" w:hAnsi="Tahoma" w:cs="Tahoma"/>
        <w:sz w:val="16"/>
        <w:szCs w:val="16"/>
      </w:rPr>
      <w:instrText xml:space="preserve"> NUMPAGES  </w:instrText>
    </w:r>
    <w:r w:rsidR="00876E21" w:rsidRPr="00C20A5B">
      <w:rPr>
        <w:rFonts w:ascii="Tahoma" w:hAnsi="Tahoma" w:cs="Tahoma"/>
        <w:sz w:val="16"/>
        <w:szCs w:val="16"/>
      </w:rPr>
      <w:fldChar w:fldCharType="separate"/>
    </w:r>
    <w:r>
      <w:rPr>
        <w:rFonts w:ascii="Tahoma" w:hAnsi="Tahoma" w:cs="Tahoma"/>
        <w:noProof/>
        <w:sz w:val="16"/>
        <w:szCs w:val="16"/>
      </w:rPr>
      <w:t>2</w:t>
    </w:r>
    <w:r w:rsidR="00876E21" w:rsidRPr="00C20A5B">
      <w:rPr>
        <w:rFonts w:ascii="Tahoma" w:hAnsi="Tahoma" w:cs="Tahoma"/>
        <w:sz w:val="16"/>
        <w:szCs w:val="16"/>
      </w:rPr>
      <w:fldChar w:fldCharType="end"/>
    </w:r>
  </w:p>
  <w:p w14:paraId="470737A9" w14:textId="77777777" w:rsidR="00F354BA" w:rsidRPr="00876E21" w:rsidRDefault="00F354BA" w:rsidP="0087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6587" w14:textId="77777777" w:rsidR="00817E56" w:rsidRDefault="00817E56">
      <w:pPr>
        <w:spacing w:after="0" w:line="240" w:lineRule="auto"/>
      </w:pPr>
      <w:r>
        <w:separator/>
      </w:r>
    </w:p>
  </w:footnote>
  <w:footnote w:type="continuationSeparator" w:id="0">
    <w:p w14:paraId="2B1626FC" w14:textId="77777777" w:rsidR="00817E56" w:rsidRDefault="0081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5C35" w14:textId="77777777" w:rsidR="00F354BA" w:rsidRDefault="00F354BA">
    <w:pPr>
      <w:pStyle w:val="Header"/>
    </w:pPr>
  </w:p>
  <w:p w14:paraId="3D8F64BF" w14:textId="77777777" w:rsidR="00F2319C" w:rsidRDefault="00F231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241B"/>
    <w:multiLevelType w:val="multilevel"/>
    <w:tmpl w:val="7472DA4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38CD45D8"/>
    <w:multiLevelType w:val="hybridMultilevel"/>
    <w:tmpl w:val="623A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F4A87"/>
    <w:multiLevelType w:val="hybridMultilevel"/>
    <w:tmpl w:val="6906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7473AB"/>
    <w:multiLevelType w:val="hybridMultilevel"/>
    <w:tmpl w:val="BF1289B4"/>
    <w:lvl w:ilvl="0" w:tplc="258E43B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66721292">
    <w:abstractNumId w:val="3"/>
  </w:num>
  <w:num w:numId="2" w16cid:durableId="1386559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957554">
    <w:abstractNumId w:val="0"/>
  </w:num>
  <w:num w:numId="4" w16cid:durableId="583607998">
    <w:abstractNumId w:val="1"/>
  </w:num>
  <w:num w:numId="5" w16cid:durableId="1482116783">
    <w:abstractNumId w:val="2"/>
  </w:num>
  <w:num w:numId="6" w16cid:durableId="542059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9E"/>
    <w:rsid w:val="00054B4F"/>
    <w:rsid w:val="00152C96"/>
    <w:rsid w:val="001B6AA9"/>
    <w:rsid w:val="00221F5D"/>
    <w:rsid w:val="002441DF"/>
    <w:rsid w:val="002D7FFB"/>
    <w:rsid w:val="00300797"/>
    <w:rsid w:val="00326FFE"/>
    <w:rsid w:val="0035739E"/>
    <w:rsid w:val="00461BAD"/>
    <w:rsid w:val="00472E2C"/>
    <w:rsid w:val="004D4B8C"/>
    <w:rsid w:val="004F2B1D"/>
    <w:rsid w:val="005E0881"/>
    <w:rsid w:val="00683D8F"/>
    <w:rsid w:val="00710730"/>
    <w:rsid w:val="007C00E3"/>
    <w:rsid w:val="007F5312"/>
    <w:rsid w:val="00817E56"/>
    <w:rsid w:val="00867FA6"/>
    <w:rsid w:val="00875283"/>
    <w:rsid w:val="00876E21"/>
    <w:rsid w:val="00A8260E"/>
    <w:rsid w:val="00AA56C0"/>
    <w:rsid w:val="00B1362B"/>
    <w:rsid w:val="00B90983"/>
    <w:rsid w:val="00B95982"/>
    <w:rsid w:val="00BE3FC1"/>
    <w:rsid w:val="00C345E0"/>
    <w:rsid w:val="00CA187F"/>
    <w:rsid w:val="00DA5FF9"/>
    <w:rsid w:val="00DD3092"/>
    <w:rsid w:val="00E10E38"/>
    <w:rsid w:val="00EC09D8"/>
    <w:rsid w:val="00ED753B"/>
    <w:rsid w:val="00F2319C"/>
    <w:rsid w:val="00F354BA"/>
    <w:rsid w:val="00F42ED3"/>
    <w:rsid w:val="00F52571"/>
    <w:rsid w:val="00FD11F8"/>
    <w:rsid w:val="00FE5C33"/>
    <w:rsid w:val="00FF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C3062"/>
  <w15:docId w15:val="{0537CCA2-A8CA-4B67-999A-58DADAE8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9E"/>
  </w:style>
  <w:style w:type="paragraph" w:styleId="Heading1">
    <w:name w:val="heading 1"/>
    <w:basedOn w:val="Normal"/>
    <w:next w:val="Normal"/>
    <w:link w:val="Heading1Char"/>
    <w:uiPriority w:val="9"/>
    <w:qFormat/>
    <w:rsid w:val="00EC09D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9E"/>
  </w:style>
  <w:style w:type="paragraph" w:styleId="Footer">
    <w:name w:val="footer"/>
    <w:basedOn w:val="Normal"/>
    <w:link w:val="FooterChar"/>
    <w:uiPriority w:val="99"/>
    <w:unhideWhenUsed/>
    <w:rsid w:val="0035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39E"/>
  </w:style>
  <w:style w:type="table" w:styleId="TableGrid">
    <w:name w:val="Table Grid"/>
    <w:basedOn w:val="TableNormal"/>
    <w:uiPriority w:val="59"/>
    <w:rsid w:val="0035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9E"/>
    <w:pPr>
      <w:ind w:left="720"/>
      <w:contextualSpacing/>
    </w:pPr>
  </w:style>
  <w:style w:type="character" w:styleId="PageNumber">
    <w:name w:val="page number"/>
    <w:basedOn w:val="DefaultParagraphFont"/>
    <w:rsid w:val="00876E21"/>
  </w:style>
  <w:style w:type="paragraph" w:styleId="Revision">
    <w:name w:val="Revision"/>
    <w:hidden/>
    <w:uiPriority w:val="99"/>
    <w:semiHidden/>
    <w:rsid w:val="00683D8F"/>
    <w:pPr>
      <w:spacing w:after="0" w:line="240" w:lineRule="auto"/>
    </w:pPr>
  </w:style>
  <w:style w:type="character" w:styleId="Hyperlink">
    <w:name w:val="Hyperlink"/>
    <w:rsid w:val="00B90983"/>
    <w:rPr>
      <w:color w:val="0000FF"/>
      <w:u w:val="single"/>
    </w:rPr>
  </w:style>
  <w:style w:type="character" w:styleId="UnresolvedMention">
    <w:name w:val="Unresolved Mention"/>
    <w:basedOn w:val="DefaultParagraphFont"/>
    <w:uiPriority w:val="99"/>
    <w:semiHidden/>
    <w:unhideWhenUsed/>
    <w:rsid w:val="00AA56C0"/>
    <w:rPr>
      <w:color w:val="605E5C"/>
      <w:shd w:val="clear" w:color="auto" w:fill="E1DFDD"/>
    </w:rPr>
  </w:style>
  <w:style w:type="paragraph" w:styleId="NoSpacing">
    <w:name w:val="No Spacing"/>
    <w:uiPriority w:val="1"/>
    <w:qFormat/>
    <w:rsid w:val="001B6AA9"/>
    <w:pPr>
      <w:spacing w:after="0" w:line="240" w:lineRule="auto"/>
    </w:pPr>
  </w:style>
  <w:style w:type="character" w:customStyle="1" w:styleId="BodyTextChar">
    <w:name w:val="Body Text Char"/>
    <w:aliases w:val="Priory documents Char"/>
    <w:basedOn w:val="DefaultParagraphFont"/>
    <w:link w:val="BodyText"/>
    <w:locked/>
    <w:rsid w:val="00F52571"/>
    <w:rPr>
      <w:rFonts w:ascii="Verdana" w:hAnsi="Verdana"/>
    </w:rPr>
  </w:style>
  <w:style w:type="paragraph" w:styleId="BodyText">
    <w:name w:val="Body Text"/>
    <w:aliases w:val="Priory documents"/>
    <w:basedOn w:val="Normal"/>
    <w:link w:val="BodyTextChar"/>
    <w:unhideWhenUsed/>
    <w:rsid w:val="00F52571"/>
    <w:pPr>
      <w:overflowPunct w:val="0"/>
      <w:autoSpaceDE w:val="0"/>
      <w:autoSpaceDN w:val="0"/>
      <w:adjustRightInd w:val="0"/>
      <w:spacing w:after="0" w:line="240" w:lineRule="auto"/>
      <w:jc w:val="both"/>
    </w:pPr>
    <w:rPr>
      <w:rFonts w:ascii="Verdana" w:hAnsi="Verdana"/>
    </w:rPr>
  </w:style>
  <w:style w:type="character" w:customStyle="1" w:styleId="BodyTextChar1">
    <w:name w:val="Body Text Char1"/>
    <w:basedOn w:val="DefaultParagraphFont"/>
    <w:uiPriority w:val="99"/>
    <w:semiHidden/>
    <w:rsid w:val="00F52571"/>
  </w:style>
  <w:style w:type="character" w:customStyle="1" w:styleId="Heading1Char">
    <w:name w:val="Heading 1 Char"/>
    <w:basedOn w:val="DefaultParagraphFont"/>
    <w:link w:val="Heading1"/>
    <w:uiPriority w:val="9"/>
    <w:rsid w:val="00EC09D8"/>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Dina Webber</cp:lastModifiedBy>
  <cp:revision>2</cp:revision>
  <dcterms:created xsi:type="dcterms:W3CDTF">2026-04-16T17:45:00Z</dcterms:created>
  <dcterms:modified xsi:type="dcterms:W3CDTF">2026-04-16T17:45:00Z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f5815026d9f690fefba6adba56b1737b95c2bcf2993a6ccbe679f10199687f1f</vt:lpwstr>
  </property>
</Properties>
</file>