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C77D" w14:textId="77777777" w:rsidR="0035739E" w:rsidRPr="00876E21" w:rsidRDefault="00054B4F" w:rsidP="00054B4F">
      <w:pPr>
        <w:tabs>
          <w:tab w:val="left" w:pos="1245"/>
        </w:tabs>
        <w:rPr>
          <w:rFonts w:ascii="Tahoma" w:hAnsi="Tahoma" w:cs="Tahoma"/>
          <w:sz w:val="20"/>
          <w:szCs w:val="20"/>
        </w:rPr>
      </w:pPr>
      <w:r>
        <w:rPr>
          <w:noProof/>
          <w:lang w:eastAsia="en-GB"/>
        </w:rPr>
        <w:drawing>
          <wp:anchor distT="0" distB="0" distL="114300" distR="114300" simplePos="0" relativeHeight="251659264" behindDoc="0" locked="0" layoutInCell="1" allowOverlap="1" wp14:anchorId="03D8062B" wp14:editId="11714F34">
            <wp:simplePos x="0" y="0"/>
            <wp:positionH relativeFrom="column">
              <wp:posOffset>-676275</wp:posOffset>
            </wp:positionH>
            <wp:positionV relativeFrom="paragraph">
              <wp:posOffset>-800735</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sz w:val="20"/>
          <w:szCs w:val="20"/>
        </w:rPr>
        <w:tab/>
      </w:r>
    </w:p>
    <w:tbl>
      <w:tblPr>
        <w:tblStyle w:val="TableGrid"/>
        <w:tblW w:w="0" w:type="auto"/>
        <w:tblLook w:val="04A0" w:firstRow="1" w:lastRow="0" w:firstColumn="1" w:lastColumn="0" w:noHBand="0" w:noVBand="1"/>
      </w:tblPr>
      <w:tblGrid>
        <w:gridCol w:w="3436"/>
        <w:gridCol w:w="5580"/>
      </w:tblGrid>
      <w:tr w:rsidR="0035739E" w:rsidRPr="00876E21" w14:paraId="634EE295" w14:textId="77777777" w:rsidTr="00A61812">
        <w:tc>
          <w:tcPr>
            <w:tcW w:w="3510" w:type="dxa"/>
            <w:shd w:val="clear" w:color="auto" w:fill="DBE5F1" w:themeFill="accent1" w:themeFillTint="33"/>
          </w:tcPr>
          <w:p w14:paraId="20B6EA38"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Title</w:t>
            </w:r>
          </w:p>
        </w:tc>
        <w:tc>
          <w:tcPr>
            <w:tcW w:w="5732" w:type="dxa"/>
          </w:tcPr>
          <w:p w14:paraId="244417B9" w14:textId="06BE5F47" w:rsidR="0035739E" w:rsidRPr="00876E21" w:rsidRDefault="00661882" w:rsidP="00A61812">
            <w:pPr>
              <w:rPr>
                <w:rFonts w:ascii="Tahoma" w:hAnsi="Tahoma" w:cs="Tahoma"/>
                <w:b/>
                <w:sz w:val="20"/>
                <w:szCs w:val="20"/>
              </w:rPr>
            </w:pPr>
            <w:r>
              <w:rPr>
                <w:rFonts w:ascii="Tahoma" w:hAnsi="Tahoma" w:cs="Tahoma"/>
                <w:b/>
                <w:sz w:val="20"/>
                <w:szCs w:val="20"/>
              </w:rPr>
              <w:t xml:space="preserve">Remote Learning &amp; Teaching </w:t>
            </w:r>
            <w:proofErr w:type="gramStart"/>
            <w:r>
              <w:rPr>
                <w:rFonts w:ascii="Tahoma" w:hAnsi="Tahoma" w:cs="Tahoma"/>
                <w:b/>
                <w:sz w:val="20"/>
                <w:szCs w:val="20"/>
              </w:rPr>
              <w:t>Policy ,</w:t>
            </w:r>
            <w:proofErr w:type="gramEnd"/>
            <w:r>
              <w:rPr>
                <w:rFonts w:ascii="Tahoma" w:hAnsi="Tahoma" w:cs="Tahoma"/>
                <w:b/>
                <w:sz w:val="20"/>
                <w:szCs w:val="20"/>
              </w:rPr>
              <w:t xml:space="preserve"> procedure</w:t>
            </w:r>
          </w:p>
        </w:tc>
      </w:tr>
      <w:tr w:rsidR="0035739E" w:rsidRPr="00876E21" w14:paraId="3BF952D0" w14:textId="77777777" w:rsidTr="00A61812">
        <w:tc>
          <w:tcPr>
            <w:tcW w:w="3510" w:type="dxa"/>
            <w:shd w:val="clear" w:color="auto" w:fill="DBE5F1" w:themeFill="accent1" w:themeFillTint="33"/>
          </w:tcPr>
          <w:p w14:paraId="645747D1" w14:textId="76B2D9C1" w:rsidR="0035739E" w:rsidRPr="00876E21" w:rsidRDefault="0035739E" w:rsidP="00A61812">
            <w:pPr>
              <w:rPr>
                <w:rFonts w:ascii="Tahoma" w:hAnsi="Tahoma" w:cs="Tahoma"/>
                <w:b/>
                <w:sz w:val="20"/>
                <w:szCs w:val="20"/>
              </w:rPr>
            </w:pPr>
            <w:r w:rsidRPr="00876E21">
              <w:rPr>
                <w:rFonts w:ascii="Tahoma" w:hAnsi="Tahoma" w:cs="Tahoma"/>
                <w:b/>
                <w:sz w:val="20"/>
                <w:szCs w:val="20"/>
              </w:rPr>
              <w:t>S</w:t>
            </w:r>
            <w:r w:rsidR="00F354BA">
              <w:rPr>
                <w:rFonts w:ascii="Tahoma" w:hAnsi="Tahoma" w:cs="Tahoma"/>
                <w:b/>
                <w:sz w:val="20"/>
                <w:szCs w:val="20"/>
              </w:rPr>
              <w:t>ervice</w:t>
            </w:r>
          </w:p>
        </w:tc>
        <w:tc>
          <w:tcPr>
            <w:tcW w:w="5732" w:type="dxa"/>
          </w:tcPr>
          <w:p w14:paraId="036B0707" w14:textId="1E25ADC1" w:rsidR="0035739E" w:rsidRPr="00876E21" w:rsidRDefault="00B90983" w:rsidP="00A61812">
            <w:pPr>
              <w:rPr>
                <w:rFonts w:ascii="Tahoma" w:hAnsi="Tahoma" w:cs="Tahoma"/>
                <w:b/>
                <w:sz w:val="20"/>
                <w:szCs w:val="20"/>
              </w:rPr>
            </w:pPr>
            <w:r>
              <w:rPr>
                <w:rFonts w:ascii="Tahoma" w:hAnsi="Tahoma" w:cs="Tahoma"/>
                <w:b/>
                <w:sz w:val="20"/>
                <w:szCs w:val="20"/>
              </w:rPr>
              <w:t>Strathmore college</w:t>
            </w:r>
          </w:p>
        </w:tc>
      </w:tr>
      <w:tr w:rsidR="0035739E" w:rsidRPr="00876E21" w14:paraId="2CC72FC9" w14:textId="77777777" w:rsidTr="00A61812">
        <w:tc>
          <w:tcPr>
            <w:tcW w:w="3510" w:type="dxa"/>
            <w:shd w:val="clear" w:color="auto" w:fill="DBE5F1" w:themeFill="accent1" w:themeFillTint="33"/>
          </w:tcPr>
          <w:p w14:paraId="66EAC309" w14:textId="54EBFE62" w:rsidR="0035739E" w:rsidRPr="00876E21" w:rsidRDefault="00F354BA" w:rsidP="00A61812">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CS Policy number and title</w:t>
            </w:r>
          </w:p>
        </w:tc>
        <w:tc>
          <w:tcPr>
            <w:tcW w:w="5732" w:type="dxa"/>
          </w:tcPr>
          <w:p w14:paraId="5749296D" w14:textId="5059DCE4" w:rsidR="0035739E" w:rsidRPr="00876E21" w:rsidRDefault="0035739E" w:rsidP="00221F5D">
            <w:pPr>
              <w:rPr>
                <w:rFonts w:ascii="Tahoma" w:hAnsi="Tahoma" w:cs="Tahoma"/>
                <w:b/>
                <w:sz w:val="20"/>
                <w:szCs w:val="20"/>
              </w:rPr>
            </w:pPr>
          </w:p>
        </w:tc>
      </w:tr>
      <w:tr w:rsidR="0035739E" w:rsidRPr="00876E21" w14:paraId="0A267BF3" w14:textId="77777777" w:rsidTr="00A61812">
        <w:tc>
          <w:tcPr>
            <w:tcW w:w="3510" w:type="dxa"/>
            <w:shd w:val="clear" w:color="auto" w:fill="DBE5F1" w:themeFill="accent1" w:themeFillTint="33"/>
          </w:tcPr>
          <w:p w14:paraId="70810F27"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template reference</w:t>
            </w:r>
          </w:p>
        </w:tc>
        <w:tc>
          <w:tcPr>
            <w:tcW w:w="5732" w:type="dxa"/>
          </w:tcPr>
          <w:p w14:paraId="222F42E8" w14:textId="227BF637" w:rsidR="0035739E" w:rsidRPr="00876E21" w:rsidRDefault="0035739E" w:rsidP="00A61812">
            <w:pPr>
              <w:rPr>
                <w:rFonts w:ascii="Tahoma" w:hAnsi="Tahoma" w:cs="Tahoma"/>
                <w:b/>
                <w:sz w:val="20"/>
                <w:szCs w:val="20"/>
              </w:rPr>
            </w:pPr>
          </w:p>
        </w:tc>
      </w:tr>
      <w:tr w:rsidR="0035739E" w:rsidRPr="00876E21" w14:paraId="2D3D9FF8" w14:textId="77777777" w:rsidTr="00A61812">
        <w:tc>
          <w:tcPr>
            <w:tcW w:w="3510" w:type="dxa"/>
            <w:shd w:val="clear" w:color="auto" w:fill="DBE5F1" w:themeFill="accent1" w:themeFillTint="33"/>
          </w:tcPr>
          <w:p w14:paraId="016DDF90"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date</w:t>
            </w:r>
          </w:p>
        </w:tc>
        <w:tc>
          <w:tcPr>
            <w:tcW w:w="5732" w:type="dxa"/>
          </w:tcPr>
          <w:p w14:paraId="6F265952" w14:textId="221B77CA" w:rsidR="0035739E" w:rsidRPr="00876E21" w:rsidRDefault="00661882" w:rsidP="00A61812">
            <w:pPr>
              <w:rPr>
                <w:rFonts w:ascii="Tahoma" w:hAnsi="Tahoma" w:cs="Tahoma"/>
                <w:sz w:val="20"/>
                <w:szCs w:val="20"/>
              </w:rPr>
            </w:pPr>
            <w:r>
              <w:rPr>
                <w:rFonts w:ascii="Tahoma" w:hAnsi="Tahoma" w:cs="Tahoma"/>
                <w:sz w:val="20"/>
                <w:szCs w:val="20"/>
              </w:rPr>
              <w:t>16.04.26</w:t>
            </w:r>
          </w:p>
        </w:tc>
      </w:tr>
      <w:tr w:rsidR="0035739E" w:rsidRPr="00876E21" w14:paraId="512D8C5C" w14:textId="77777777" w:rsidTr="00A61812">
        <w:tc>
          <w:tcPr>
            <w:tcW w:w="3510" w:type="dxa"/>
            <w:shd w:val="clear" w:color="auto" w:fill="DBE5F1" w:themeFill="accent1" w:themeFillTint="33"/>
          </w:tcPr>
          <w:p w14:paraId="302EB1CE"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review date</w:t>
            </w:r>
          </w:p>
        </w:tc>
        <w:tc>
          <w:tcPr>
            <w:tcW w:w="5732" w:type="dxa"/>
          </w:tcPr>
          <w:p w14:paraId="0A67F4F8" w14:textId="6A9DB162" w:rsidR="0035739E" w:rsidRPr="00876E21" w:rsidRDefault="00661882" w:rsidP="00A61812">
            <w:pPr>
              <w:rPr>
                <w:rFonts w:ascii="Tahoma" w:hAnsi="Tahoma" w:cs="Tahoma"/>
                <w:sz w:val="20"/>
                <w:szCs w:val="20"/>
              </w:rPr>
            </w:pPr>
            <w:r>
              <w:rPr>
                <w:rFonts w:ascii="Tahoma" w:hAnsi="Tahoma" w:cs="Tahoma"/>
                <w:sz w:val="20"/>
                <w:szCs w:val="20"/>
              </w:rPr>
              <w:t>16.04.26</w:t>
            </w:r>
          </w:p>
        </w:tc>
      </w:tr>
      <w:tr w:rsidR="0035739E" w:rsidRPr="00876E21" w14:paraId="778DF0A6" w14:textId="77777777" w:rsidTr="00A61812">
        <w:tc>
          <w:tcPr>
            <w:tcW w:w="3510" w:type="dxa"/>
            <w:shd w:val="clear" w:color="auto" w:fill="DBE5F1" w:themeFill="accent1" w:themeFillTint="33"/>
          </w:tcPr>
          <w:p w14:paraId="5B6E7D16"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Author(s)</w:t>
            </w:r>
          </w:p>
        </w:tc>
        <w:tc>
          <w:tcPr>
            <w:tcW w:w="5732" w:type="dxa"/>
          </w:tcPr>
          <w:p w14:paraId="38C1A2C3" w14:textId="263B5FBB" w:rsidR="0035739E" w:rsidRPr="00876E21" w:rsidRDefault="00661882" w:rsidP="00A61812">
            <w:pPr>
              <w:rPr>
                <w:rFonts w:ascii="Tahoma" w:hAnsi="Tahoma" w:cs="Tahoma"/>
                <w:sz w:val="20"/>
                <w:szCs w:val="20"/>
              </w:rPr>
            </w:pPr>
            <w:r>
              <w:rPr>
                <w:rFonts w:ascii="Tahoma" w:hAnsi="Tahoma" w:cs="Tahoma"/>
                <w:sz w:val="20"/>
                <w:szCs w:val="20"/>
              </w:rPr>
              <w:t>Dina Webber</w:t>
            </w:r>
          </w:p>
        </w:tc>
      </w:tr>
      <w:tr w:rsidR="0035739E" w:rsidRPr="00876E21" w14:paraId="7714459D" w14:textId="77777777" w:rsidTr="00A61812">
        <w:tc>
          <w:tcPr>
            <w:tcW w:w="3510" w:type="dxa"/>
            <w:shd w:val="clear" w:color="auto" w:fill="DBE5F1" w:themeFill="accent1" w:themeFillTint="33"/>
          </w:tcPr>
          <w:p w14:paraId="1B55FA08"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Ratification</w:t>
            </w:r>
          </w:p>
        </w:tc>
        <w:tc>
          <w:tcPr>
            <w:tcW w:w="5732" w:type="dxa"/>
          </w:tcPr>
          <w:p w14:paraId="4C65C3C5" w14:textId="5A361CA9" w:rsidR="0035739E" w:rsidRPr="00876E21" w:rsidRDefault="0035739E" w:rsidP="00A61812">
            <w:pPr>
              <w:rPr>
                <w:rFonts w:ascii="Tahoma" w:hAnsi="Tahoma" w:cs="Tahoma"/>
                <w:sz w:val="20"/>
                <w:szCs w:val="20"/>
              </w:rPr>
            </w:pPr>
            <w:r w:rsidRPr="00876E21">
              <w:rPr>
                <w:rFonts w:ascii="Tahoma" w:hAnsi="Tahoma" w:cs="Tahoma"/>
                <w:sz w:val="20"/>
                <w:szCs w:val="20"/>
              </w:rPr>
              <w:t xml:space="preserve">Checked and </w:t>
            </w:r>
            <w:proofErr w:type="gramStart"/>
            <w:r w:rsidRPr="00876E21">
              <w:rPr>
                <w:rFonts w:ascii="Tahoma" w:hAnsi="Tahoma" w:cs="Tahoma"/>
                <w:sz w:val="20"/>
                <w:szCs w:val="20"/>
              </w:rPr>
              <w:t>Approved</w:t>
            </w:r>
            <w:proofErr w:type="gramEnd"/>
            <w:r w:rsidRPr="00876E21">
              <w:rPr>
                <w:rFonts w:ascii="Tahoma" w:hAnsi="Tahoma" w:cs="Tahoma"/>
                <w:sz w:val="20"/>
                <w:szCs w:val="20"/>
              </w:rPr>
              <w:t xml:space="preserve"> by: </w:t>
            </w:r>
            <w:r w:rsidR="00F2319C">
              <w:rPr>
                <w:rFonts w:ascii="Tahoma" w:hAnsi="Tahoma" w:cs="Tahoma"/>
                <w:sz w:val="20"/>
                <w:szCs w:val="20"/>
              </w:rPr>
              <w:t>Danielle Samuel (</w:t>
            </w:r>
            <w:proofErr w:type="gramStart"/>
            <w:r w:rsidR="00F2319C">
              <w:rPr>
                <w:rFonts w:ascii="Tahoma" w:hAnsi="Tahoma" w:cs="Tahoma"/>
                <w:sz w:val="20"/>
                <w:szCs w:val="20"/>
              </w:rPr>
              <w:t>Principal)</w:t>
            </w:r>
            <w:r w:rsidRPr="00876E21">
              <w:rPr>
                <w:rFonts w:ascii="Tahoma" w:hAnsi="Tahoma" w:cs="Tahoma"/>
                <w:sz w:val="20"/>
                <w:szCs w:val="20"/>
              </w:rPr>
              <w:t xml:space="preserve">   </w:t>
            </w:r>
            <w:proofErr w:type="gramEnd"/>
            <w:r w:rsidRPr="00876E21">
              <w:rPr>
                <w:rFonts w:ascii="Tahoma" w:hAnsi="Tahoma" w:cs="Tahoma"/>
                <w:sz w:val="20"/>
                <w:szCs w:val="20"/>
              </w:rPr>
              <w:t xml:space="preserve">                                         </w:t>
            </w:r>
          </w:p>
        </w:tc>
      </w:tr>
    </w:tbl>
    <w:p w14:paraId="5FBF8B33" w14:textId="77777777" w:rsidR="0035739E" w:rsidRPr="00876E21" w:rsidRDefault="0035739E" w:rsidP="0035739E">
      <w:pPr>
        <w:rPr>
          <w:rFonts w:ascii="Tahoma" w:hAnsi="Tahoma" w:cs="Tahoma"/>
          <w:sz w:val="20"/>
          <w:szCs w:val="20"/>
        </w:rPr>
      </w:pPr>
    </w:p>
    <w:tbl>
      <w:tblPr>
        <w:tblStyle w:val="TableGrid"/>
        <w:tblW w:w="0" w:type="auto"/>
        <w:tblLook w:val="04A0" w:firstRow="1" w:lastRow="0" w:firstColumn="1" w:lastColumn="0" w:noHBand="0" w:noVBand="1"/>
      </w:tblPr>
      <w:tblGrid>
        <w:gridCol w:w="9016"/>
      </w:tblGrid>
      <w:tr w:rsidR="00876E21" w14:paraId="495204AA" w14:textId="77777777" w:rsidTr="00DD3092">
        <w:tc>
          <w:tcPr>
            <w:tcW w:w="9016" w:type="dxa"/>
            <w:hideMark/>
          </w:tcPr>
          <w:p w14:paraId="524C0469" w14:textId="44D72C1E" w:rsidR="00876E21" w:rsidRPr="00B90983" w:rsidRDefault="00876E21" w:rsidP="00B90983">
            <w:pPr>
              <w:rPr>
                <w:b/>
              </w:rPr>
            </w:pPr>
          </w:p>
        </w:tc>
      </w:tr>
      <w:tr w:rsidR="00876E21" w14:paraId="7D1E0F1F" w14:textId="77777777" w:rsidTr="00DD3092">
        <w:tc>
          <w:tcPr>
            <w:tcW w:w="9016" w:type="dxa"/>
          </w:tcPr>
          <w:p w14:paraId="43BBC4AA" w14:textId="77777777" w:rsidR="00661882" w:rsidRPr="00DA1D75" w:rsidRDefault="00661882" w:rsidP="00661882">
            <w:pPr>
              <w:rPr>
                <w:sz w:val="24"/>
                <w:szCs w:val="24"/>
              </w:rPr>
            </w:pPr>
            <w:r w:rsidRPr="00DA1D75">
              <w:rPr>
                <w:sz w:val="24"/>
                <w:szCs w:val="24"/>
              </w:rPr>
              <w:t>This policy establishes guidelines for effective remote teaching and learning, ensuring continuity of education and compliance with each Individual students needs and EHCP outcomes.</w:t>
            </w:r>
          </w:p>
          <w:p w14:paraId="784A7EDA" w14:textId="77777777" w:rsidR="00661882" w:rsidRPr="00DA1D75" w:rsidRDefault="00661882" w:rsidP="00661882">
            <w:pPr>
              <w:rPr>
                <w:sz w:val="24"/>
                <w:szCs w:val="24"/>
              </w:rPr>
            </w:pPr>
            <w:r w:rsidRPr="00DA1D75">
              <w:rPr>
                <w:sz w:val="24"/>
                <w:szCs w:val="24"/>
              </w:rPr>
              <w:t>This policy applies to all staff, students, and support services involved in remote learning delivery.</w:t>
            </w:r>
          </w:p>
          <w:p w14:paraId="431AACA9" w14:textId="77777777" w:rsidR="00661882" w:rsidRPr="00DA1D75" w:rsidRDefault="00661882" w:rsidP="00661882">
            <w:pPr>
              <w:rPr>
                <w:sz w:val="24"/>
                <w:szCs w:val="24"/>
              </w:rPr>
            </w:pPr>
            <w:r w:rsidRPr="00DA1D75">
              <w:rPr>
                <w:sz w:val="24"/>
                <w:szCs w:val="24"/>
              </w:rPr>
              <w:t xml:space="preserve">Remote learning is something Strathmore College is committed </w:t>
            </w:r>
            <w:proofErr w:type="gramStart"/>
            <w:r w:rsidRPr="00DA1D75">
              <w:rPr>
                <w:sz w:val="24"/>
                <w:szCs w:val="24"/>
              </w:rPr>
              <w:t>to</w:t>
            </w:r>
            <w:proofErr w:type="gramEnd"/>
            <w:r w:rsidRPr="00DA1D75">
              <w:rPr>
                <w:sz w:val="24"/>
                <w:szCs w:val="24"/>
              </w:rPr>
              <w:t xml:space="preserve"> and we aim to deliver high-quality, inclusive remote education ensuring intent, implementation, and impact are met. This can be an option for students who are struggling to physically attend college for whatever reason. It would be looked upon as a </w:t>
            </w:r>
            <w:proofErr w:type="gramStart"/>
            <w:r w:rsidRPr="00DA1D75">
              <w:rPr>
                <w:sz w:val="24"/>
                <w:szCs w:val="24"/>
              </w:rPr>
              <w:t>short term</w:t>
            </w:r>
            <w:proofErr w:type="gramEnd"/>
            <w:r w:rsidRPr="00DA1D75">
              <w:rPr>
                <w:sz w:val="24"/>
                <w:szCs w:val="24"/>
              </w:rPr>
              <w:t xml:space="preserve"> solution / option however ever situation will be approached individually.</w:t>
            </w:r>
          </w:p>
          <w:p w14:paraId="421A117F" w14:textId="1D69F327" w:rsidR="00876E21" w:rsidRPr="00CA187F" w:rsidRDefault="00876E21" w:rsidP="00661882">
            <w:pPr>
              <w:widowControl w:val="0"/>
              <w:autoSpaceDE w:val="0"/>
              <w:autoSpaceDN w:val="0"/>
              <w:spacing w:before="243"/>
              <w:jc w:val="both"/>
              <w:rPr>
                <w:rFonts w:ascii="Verdana" w:hAnsi="Verdana"/>
                <w:sz w:val="20"/>
                <w:szCs w:val="20"/>
              </w:rPr>
            </w:pPr>
          </w:p>
        </w:tc>
      </w:tr>
      <w:tr w:rsidR="00876E21" w14:paraId="2E8FB4F2" w14:textId="77777777" w:rsidTr="00DD3092">
        <w:tc>
          <w:tcPr>
            <w:tcW w:w="9016" w:type="dxa"/>
            <w:hideMark/>
          </w:tcPr>
          <w:p w14:paraId="05371E3D" w14:textId="622A47CE" w:rsidR="00876E21" w:rsidRPr="00CA187F" w:rsidRDefault="00876E21" w:rsidP="00B90983">
            <w:pPr>
              <w:rPr>
                <w:rFonts w:ascii="Verdana" w:hAnsi="Verdana"/>
                <w:b/>
                <w:sz w:val="20"/>
                <w:szCs w:val="20"/>
              </w:rPr>
            </w:pPr>
          </w:p>
        </w:tc>
      </w:tr>
      <w:tr w:rsidR="00876E21" w14:paraId="25331BDA" w14:textId="77777777" w:rsidTr="00DD3092">
        <w:tc>
          <w:tcPr>
            <w:tcW w:w="9016" w:type="dxa"/>
          </w:tcPr>
          <w:p w14:paraId="0D358A56" w14:textId="349810CB" w:rsidR="00B90983" w:rsidRPr="00A20623" w:rsidRDefault="00661882" w:rsidP="00A20623">
            <w:pPr>
              <w:pStyle w:val="ListParagraph"/>
              <w:numPr>
                <w:ilvl w:val="0"/>
                <w:numId w:val="7"/>
              </w:numPr>
              <w:rPr>
                <w:rFonts w:ascii="Verdana" w:hAnsi="Verdana"/>
                <w:b/>
                <w:sz w:val="20"/>
                <w:szCs w:val="20"/>
              </w:rPr>
            </w:pPr>
            <w:r w:rsidRPr="00A20623">
              <w:rPr>
                <w:rFonts w:ascii="Verdana" w:hAnsi="Verdana"/>
                <w:b/>
                <w:sz w:val="20"/>
                <w:szCs w:val="20"/>
              </w:rPr>
              <w:t xml:space="preserve">Roles &amp; </w:t>
            </w:r>
            <w:r w:rsidR="00DD3092" w:rsidRPr="00A20623">
              <w:rPr>
                <w:rFonts w:ascii="Verdana" w:hAnsi="Verdana"/>
                <w:b/>
                <w:sz w:val="20"/>
                <w:szCs w:val="20"/>
              </w:rPr>
              <w:t>R</w:t>
            </w:r>
            <w:r w:rsidR="00B90983" w:rsidRPr="00A20623">
              <w:rPr>
                <w:rFonts w:ascii="Verdana" w:hAnsi="Verdana"/>
                <w:b/>
                <w:sz w:val="20"/>
                <w:szCs w:val="20"/>
              </w:rPr>
              <w:t>esponsibilities</w:t>
            </w:r>
          </w:p>
          <w:p w14:paraId="51BAEA69" w14:textId="77777777" w:rsidR="00661882" w:rsidRPr="00DA1D75" w:rsidRDefault="00661882" w:rsidP="00661882">
            <w:pPr>
              <w:rPr>
                <w:sz w:val="24"/>
                <w:szCs w:val="24"/>
              </w:rPr>
            </w:pPr>
            <w:r w:rsidRPr="00DA1D75">
              <w:rPr>
                <w:sz w:val="24"/>
                <w:szCs w:val="24"/>
              </w:rPr>
              <w:t xml:space="preserve">SLT will ensure the infrastructure, quality assurance, and compliance is appropriately followed by all staff. There will be in-depth arrangements made with all parties involved including the Student, Parents / Carers. </w:t>
            </w:r>
          </w:p>
          <w:p w14:paraId="65D13034" w14:textId="0ABFAE2A" w:rsidR="00CA187F" w:rsidRPr="00CA187F" w:rsidRDefault="00661882" w:rsidP="00661882">
            <w:pPr>
              <w:rPr>
                <w:rFonts w:ascii="Verdana" w:hAnsi="Verdana"/>
                <w:sz w:val="20"/>
                <w:szCs w:val="20"/>
              </w:rPr>
            </w:pPr>
            <w:r w:rsidRPr="00DA1D75">
              <w:rPr>
                <w:sz w:val="24"/>
                <w:szCs w:val="24"/>
              </w:rPr>
              <w:t>Staff: Will be responsible for delivering engaging lessons, provide feedback, and track students’ progress.</w:t>
            </w:r>
            <w:r w:rsidRPr="00DA1D75">
              <w:rPr>
                <w:sz w:val="24"/>
                <w:szCs w:val="24"/>
              </w:rPr>
              <w:br/>
              <w:t>Students: Will be expected, where possible, to participate actively and uphold academic integrity. The responsibility of non-attendance lies with the Student, Parents, Carers and college should be notified at the earliest possibility.</w:t>
            </w:r>
          </w:p>
        </w:tc>
      </w:tr>
      <w:tr w:rsidR="00876E21" w14:paraId="40EC4E3D" w14:textId="77777777" w:rsidTr="00DD3092">
        <w:tc>
          <w:tcPr>
            <w:tcW w:w="9016" w:type="dxa"/>
          </w:tcPr>
          <w:p w14:paraId="21FFADDB" w14:textId="479DF6C1" w:rsidR="00B90983" w:rsidRPr="007E3653" w:rsidRDefault="00A20623" w:rsidP="00A20623">
            <w:pPr>
              <w:rPr>
                <w:rFonts w:ascii="Verdana" w:hAnsi="Verdana"/>
                <w:b/>
                <w:sz w:val="20"/>
                <w:szCs w:val="20"/>
              </w:rPr>
            </w:pPr>
            <w:r>
              <w:rPr>
                <w:rFonts w:ascii="Verdana" w:hAnsi="Verdana"/>
                <w:b/>
                <w:sz w:val="20"/>
                <w:szCs w:val="20"/>
              </w:rPr>
              <w:t xml:space="preserve">     2.</w:t>
            </w:r>
            <w:r w:rsidR="00661882">
              <w:rPr>
                <w:rFonts w:ascii="Verdana" w:hAnsi="Verdana"/>
                <w:b/>
                <w:sz w:val="20"/>
                <w:szCs w:val="20"/>
              </w:rPr>
              <w:t>Teaching Procedures</w:t>
            </w:r>
          </w:p>
          <w:tbl>
            <w:tblPr>
              <w:tblW w:w="9475" w:type="dxa"/>
              <w:tblLayout w:type="fixed"/>
              <w:tblLook w:val="0000" w:firstRow="0" w:lastRow="0" w:firstColumn="0" w:lastColumn="0" w:noHBand="0" w:noVBand="0"/>
            </w:tblPr>
            <w:tblGrid>
              <w:gridCol w:w="9475"/>
            </w:tblGrid>
            <w:tr w:rsidR="001B6AA9" w:rsidRPr="007858A6" w14:paraId="45C35BAA" w14:textId="77777777" w:rsidTr="001B6AA9">
              <w:trPr>
                <w:trHeight w:val="130"/>
              </w:trPr>
              <w:tc>
                <w:tcPr>
                  <w:tcW w:w="9475" w:type="dxa"/>
                </w:tcPr>
                <w:p w14:paraId="35B6ED88" w14:textId="1CC7236C" w:rsidR="001B6AA9" w:rsidRPr="00661882" w:rsidRDefault="00661882" w:rsidP="00661882">
                  <w:pPr>
                    <w:rPr>
                      <w:sz w:val="24"/>
                      <w:szCs w:val="24"/>
                    </w:rPr>
                  </w:pPr>
                  <w:r w:rsidRPr="00DA1D75">
                    <w:rPr>
                      <w:sz w:val="24"/>
                      <w:szCs w:val="24"/>
                    </w:rPr>
                    <w:t>Lessons must include clear objectives, interactive delivery, and a blend of direct teaching and Student led learning. Attendance and engagement must be monitored in line with college expectations and the LA funding requirements.</w:t>
                  </w:r>
                </w:p>
              </w:tc>
            </w:tr>
          </w:tbl>
          <w:p w14:paraId="7EEF646B" w14:textId="0664CE77" w:rsidR="00152C96" w:rsidRPr="00875283" w:rsidRDefault="00152C96" w:rsidP="00152C96">
            <w:pPr>
              <w:rPr>
                <w:rFonts w:ascii="Verdana" w:hAnsi="Verdana"/>
                <w:sz w:val="20"/>
                <w:szCs w:val="20"/>
              </w:rPr>
            </w:pPr>
          </w:p>
        </w:tc>
      </w:tr>
      <w:tr w:rsidR="00300797" w14:paraId="7AAB9873" w14:textId="77777777" w:rsidTr="00DD3092">
        <w:tc>
          <w:tcPr>
            <w:tcW w:w="9016" w:type="dxa"/>
          </w:tcPr>
          <w:p w14:paraId="61893D26" w14:textId="14DC5A5F" w:rsidR="00300797" w:rsidRPr="005555CB" w:rsidRDefault="005555CB" w:rsidP="005555CB">
            <w:pPr>
              <w:ind w:left="360"/>
              <w:rPr>
                <w:rFonts w:ascii="Verdana" w:hAnsi="Verdana"/>
                <w:b/>
                <w:sz w:val="20"/>
                <w:szCs w:val="20"/>
              </w:rPr>
            </w:pPr>
            <w:r>
              <w:rPr>
                <w:rFonts w:ascii="Verdana" w:hAnsi="Verdana"/>
                <w:b/>
                <w:sz w:val="20"/>
                <w:szCs w:val="20"/>
              </w:rPr>
              <w:t>3.</w:t>
            </w:r>
            <w:r w:rsidRPr="005555CB">
              <w:rPr>
                <w:rFonts w:ascii="Verdana" w:hAnsi="Verdana"/>
                <w:b/>
                <w:sz w:val="20"/>
                <w:szCs w:val="20"/>
              </w:rPr>
              <w:t xml:space="preserve"> </w:t>
            </w:r>
            <w:r w:rsidR="00661882" w:rsidRPr="005555CB">
              <w:rPr>
                <w:rFonts w:ascii="Verdana" w:hAnsi="Verdana"/>
                <w:b/>
                <w:sz w:val="20"/>
                <w:szCs w:val="20"/>
              </w:rPr>
              <w:t>Assessment</w:t>
            </w:r>
          </w:p>
          <w:p w14:paraId="1B6AAE53" w14:textId="77777777" w:rsidR="00661882" w:rsidRPr="00DA1D75" w:rsidRDefault="00661882" w:rsidP="00661882">
            <w:pPr>
              <w:rPr>
                <w:sz w:val="24"/>
                <w:szCs w:val="24"/>
              </w:rPr>
            </w:pPr>
            <w:r w:rsidRPr="00DA1D75">
              <w:rPr>
                <w:sz w:val="24"/>
                <w:szCs w:val="24"/>
              </w:rPr>
              <w:t>Assessment must be valid, reliable, and aligned with curriculum intent. Feedback should support progress and meet Strathmore expectations for learner development.</w:t>
            </w:r>
          </w:p>
          <w:p w14:paraId="229CF68F" w14:textId="242E064B" w:rsidR="00661882" w:rsidRPr="00300797" w:rsidRDefault="00661882" w:rsidP="00300797">
            <w:pPr>
              <w:rPr>
                <w:rFonts w:ascii="Verdana" w:hAnsi="Verdana"/>
                <w:b/>
                <w:sz w:val="20"/>
                <w:szCs w:val="20"/>
              </w:rPr>
            </w:pPr>
          </w:p>
        </w:tc>
      </w:tr>
      <w:tr w:rsidR="00F52571" w14:paraId="671819D6" w14:textId="77777777" w:rsidTr="00DD3092">
        <w:tc>
          <w:tcPr>
            <w:tcW w:w="9016" w:type="dxa"/>
          </w:tcPr>
          <w:p w14:paraId="73F99B2F" w14:textId="306C91E6" w:rsidR="00661882" w:rsidRDefault="005555CB" w:rsidP="00661882">
            <w:pPr>
              <w:rPr>
                <w:sz w:val="24"/>
                <w:szCs w:val="24"/>
              </w:rPr>
            </w:pPr>
            <w:r>
              <w:rPr>
                <w:rFonts w:ascii="Verdana" w:hAnsi="Verdana"/>
                <w:b/>
                <w:sz w:val="20"/>
                <w:szCs w:val="20"/>
              </w:rPr>
              <w:t xml:space="preserve">      </w:t>
            </w:r>
            <w:r w:rsidR="00661882">
              <w:rPr>
                <w:rFonts w:ascii="Verdana" w:hAnsi="Verdana"/>
                <w:b/>
                <w:sz w:val="20"/>
                <w:szCs w:val="20"/>
              </w:rPr>
              <w:t>4.</w:t>
            </w:r>
            <w:r>
              <w:rPr>
                <w:rFonts w:ascii="Verdana" w:hAnsi="Verdana"/>
                <w:b/>
                <w:sz w:val="20"/>
                <w:szCs w:val="20"/>
              </w:rPr>
              <w:t xml:space="preserve"> </w:t>
            </w:r>
            <w:r w:rsidR="00661882" w:rsidRPr="00661882">
              <w:rPr>
                <w:b/>
                <w:bCs/>
                <w:sz w:val="24"/>
                <w:szCs w:val="24"/>
              </w:rPr>
              <w:t xml:space="preserve">Safeguarding </w:t>
            </w:r>
          </w:p>
          <w:p w14:paraId="7C1D837C" w14:textId="500892EE" w:rsidR="00661882" w:rsidRPr="00DA1D75" w:rsidRDefault="00661882" w:rsidP="00661882">
            <w:pPr>
              <w:rPr>
                <w:sz w:val="24"/>
                <w:szCs w:val="24"/>
              </w:rPr>
            </w:pPr>
            <w:r w:rsidRPr="00DA1D75">
              <w:rPr>
                <w:sz w:val="24"/>
                <w:szCs w:val="24"/>
              </w:rPr>
              <w:t>All remote sessions must adhere to safeguarding policies. Staff must maintain professional conduct and report concerns immediately.</w:t>
            </w:r>
          </w:p>
          <w:p w14:paraId="3A9451EF" w14:textId="0E48078F" w:rsidR="00661882" w:rsidRPr="00F52571" w:rsidRDefault="00661882" w:rsidP="00661882">
            <w:pPr>
              <w:rPr>
                <w:rFonts w:ascii="Verdana" w:hAnsi="Verdana"/>
                <w:bCs/>
                <w:sz w:val="20"/>
                <w:szCs w:val="20"/>
              </w:rPr>
            </w:pPr>
          </w:p>
        </w:tc>
      </w:tr>
      <w:tr w:rsidR="00F52571" w14:paraId="78884482" w14:textId="77777777" w:rsidTr="00DD3092">
        <w:tc>
          <w:tcPr>
            <w:tcW w:w="9016" w:type="dxa"/>
          </w:tcPr>
          <w:p w14:paraId="072DC84F" w14:textId="5C80B116" w:rsidR="007C00E3" w:rsidRDefault="005555CB" w:rsidP="007C00E3">
            <w:pPr>
              <w:rPr>
                <w:rFonts w:ascii="Verdana" w:hAnsi="Verdana"/>
                <w:b/>
                <w:sz w:val="20"/>
                <w:szCs w:val="20"/>
              </w:rPr>
            </w:pPr>
            <w:r>
              <w:rPr>
                <w:rFonts w:ascii="Verdana" w:hAnsi="Verdana"/>
                <w:b/>
                <w:sz w:val="20"/>
                <w:szCs w:val="20"/>
              </w:rPr>
              <w:t xml:space="preserve">      </w:t>
            </w:r>
            <w:r w:rsidR="00661882">
              <w:rPr>
                <w:rFonts w:ascii="Verdana" w:hAnsi="Verdana"/>
                <w:b/>
                <w:sz w:val="20"/>
                <w:szCs w:val="20"/>
              </w:rPr>
              <w:t>5. Data protection</w:t>
            </w:r>
          </w:p>
          <w:p w14:paraId="6F6B0ABF" w14:textId="1FE80D8B" w:rsidR="00661882" w:rsidRDefault="00661882" w:rsidP="007C00E3">
            <w:pPr>
              <w:rPr>
                <w:rFonts w:ascii="Verdana" w:hAnsi="Verdana"/>
                <w:b/>
                <w:sz w:val="20"/>
                <w:szCs w:val="20"/>
              </w:rPr>
            </w:pPr>
            <w:r w:rsidRPr="00DA1D75">
              <w:rPr>
                <w:sz w:val="24"/>
                <w:szCs w:val="24"/>
              </w:rPr>
              <w:t>All activities must comply with UK GDPR and Data Protection Act 2018. Personal data must be handled securely</w:t>
            </w:r>
          </w:p>
        </w:tc>
      </w:tr>
      <w:tr w:rsidR="00661882" w14:paraId="18797564" w14:textId="77777777" w:rsidTr="00DD3092">
        <w:tc>
          <w:tcPr>
            <w:tcW w:w="9016" w:type="dxa"/>
          </w:tcPr>
          <w:p w14:paraId="00B94763" w14:textId="7B2B82D5" w:rsidR="00661882" w:rsidRDefault="005555CB" w:rsidP="007C00E3">
            <w:pPr>
              <w:rPr>
                <w:rFonts w:ascii="Verdana" w:hAnsi="Verdana"/>
                <w:b/>
                <w:sz w:val="20"/>
                <w:szCs w:val="20"/>
              </w:rPr>
            </w:pPr>
            <w:r>
              <w:rPr>
                <w:rFonts w:ascii="Verdana" w:hAnsi="Verdana"/>
                <w:b/>
                <w:sz w:val="20"/>
                <w:szCs w:val="20"/>
              </w:rPr>
              <w:lastRenderedPageBreak/>
              <w:t xml:space="preserve">      </w:t>
            </w:r>
            <w:r w:rsidR="00661882">
              <w:rPr>
                <w:rFonts w:ascii="Verdana" w:hAnsi="Verdana"/>
                <w:b/>
                <w:sz w:val="20"/>
                <w:szCs w:val="20"/>
              </w:rPr>
              <w:t>6.</w:t>
            </w:r>
            <w:r>
              <w:rPr>
                <w:rFonts w:ascii="Verdana" w:hAnsi="Verdana"/>
                <w:b/>
                <w:sz w:val="20"/>
                <w:szCs w:val="20"/>
              </w:rPr>
              <w:t xml:space="preserve"> </w:t>
            </w:r>
            <w:r w:rsidR="00661882">
              <w:rPr>
                <w:rFonts w:ascii="Verdana" w:hAnsi="Verdana"/>
                <w:b/>
                <w:sz w:val="20"/>
                <w:szCs w:val="20"/>
              </w:rPr>
              <w:t>Quality Assurance</w:t>
            </w:r>
          </w:p>
          <w:p w14:paraId="1CFCB753" w14:textId="77777777" w:rsidR="00661882" w:rsidRPr="00DA1D75" w:rsidRDefault="00661882" w:rsidP="00661882">
            <w:pPr>
              <w:rPr>
                <w:sz w:val="24"/>
                <w:szCs w:val="24"/>
              </w:rPr>
            </w:pPr>
            <w:r w:rsidRPr="00DA1D75">
              <w:rPr>
                <w:sz w:val="24"/>
                <w:szCs w:val="24"/>
              </w:rPr>
              <w:t>Regular reviews, observations, and student feedback will ensure continuous improvement.</w:t>
            </w:r>
          </w:p>
          <w:p w14:paraId="369E9A3C" w14:textId="77777777" w:rsidR="00661882" w:rsidRDefault="00661882" w:rsidP="007C00E3">
            <w:pPr>
              <w:rPr>
                <w:rFonts w:ascii="Verdana" w:hAnsi="Verdana"/>
                <w:b/>
                <w:sz w:val="20"/>
                <w:szCs w:val="20"/>
              </w:rPr>
            </w:pPr>
          </w:p>
          <w:p w14:paraId="2160C530" w14:textId="0D3D6B0F" w:rsidR="00661882" w:rsidRDefault="00661882" w:rsidP="007C00E3">
            <w:pPr>
              <w:rPr>
                <w:rFonts w:ascii="Verdana" w:hAnsi="Verdana"/>
                <w:b/>
                <w:sz w:val="20"/>
                <w:szCs w:val="20"/>
              </w:rPr>
            </w:pPr>
            <w:r>
              <w:rPr>
                <w:rFonts w:ascii="Verdana" w:hAnsi="Verdana"/>
                <w:b/>
                <w:sz w:val="20"/>
                <w:szCs w:val="20"/>
              </w:rPr>
              <w:t>This policy will be reviewed annually.</w:t>
            </w:r>
          </w:p>
        </w:tc>
      </w:tr>
      <w:tr w:rsidR="00876E21" w14:paraId="55DAA14F" w14:textId="77777777" w:rsidTr="00DD3092">
        <w:tc>
          <w:tcPr>
            <w:tcW w:w="9016" w:type="dxa"/>
            <w:hideMark/>
          </w:tcPr>
          <w:p w14:paraId="44824D41" w14:textId="43690E16" w:rsidR="00B90983" w:rsidRPr="00B90983" w:rsidRDefault="00B90983" w:rsidP="00B90983">
            <w:pPr>
              <w:rPr>
                <w:b/>
              </w:rPr>
            </w:pPr>
          </w:p>
        </w:tc>
      </w:tr>
    </w:tbl>
    <w:p w14:paraId="0911067E" w14:textId="77777777" w:rsidR="001B6AA9" w:rsidRDefault="001B6AA9" w:rsidP="0035739E">
      <w:pPr>
        <w:rPr>
          <w:rFonts w:ascii="Tahoma" w:hAnsi="Tahoma" w:cs="Tahoma"/>
          <w:b/>
          <w:sz w:val="20"/>
          <w:szCs w:val="20"/>
        </w:rPr>
      </w:pPr>
    </w:p>
    <w:p w14:paraId="2EFF265B" w14:textId="28817277" w:rsidR="0035739E" w:rsidRPr="00B90983" w:rsidRDefault="0035739E" w:rsidP="0035739E">
      <w:r w:rsidRPr="00876E21">
        <w:rPr>
          <w:rFonts w:ascii="Tahoma" w:hAnsi="Tahoma" w:cs="Tahoma"/>
          <w:b/>
          <w:sz w:val="20"/>
          <w:szCs w:val="20"/>
        </w:rPr>
        <w:t>Local Procedure Review History</w:t>
      </w:r>
      <w:r w:rsidRPr="00876E21">
        <w:rPr>
          <w:rFonts w:ascii="Tahoma" w:hAnsi="Tahoma" w:cs="Tahoma"/>
          <w:b/>
          <w:sz w:val="20"/>
          <w:szCs w:val="20"/>
          <w:lang w:eastAsia="en-GB"/>
        </w:rPr>
        <w:t>:</w:t>
      </w:r>
    </w:p>
    <w:tbl>
      <w:tblPr>
        <w:tblStyle w:val="TableGrid"/>
        <w:tblW w:w="0" w:type="auto"/>
        <w:tblLook w:val="04A0" w:firstRow="1" w:lastRow="0" w:firstColumn="1" w:lastColumn="0" w:noHBand="0" w:noVBand="1"/>
      </w:tblPr>
      <w:tblGrid>
        <w:gridCol w:w="3005"/>
        <w:gridCol w:w="3005"/>
        <w:gridCol w:w="3006"/>
      </w:tblGrid>
      <w:tr w:rsidR="0035739E" w:rsidRPr="00876E21" w14:paraId="470BB65F" w14:textId="77777777" w:rsidTr="00A61812">
        <w:tc>
          <w:tcPr>
            <w:tcW w:w="3080" w:type="dxa"/>
            <w:shd w:val="clear" w:color="auto" w:fill="C6D9F1" w:themeFill="text2" w:themeFillTint="33"/>
          </w:tcPr>
          <w:p w14:paraId="0D6F3AB7"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Date Reviewed</w:t>
            </w:r>
          </w:p>
        </w:tc>
        <w:tc>
          <w:tcPr>
            <w:tcW w:w="3081" w:type="dxa"/>
            <w:shd w:val="clear" w:color="auto" w:fill="C6D9F1" w:themeFill="text2" w:themeFillTint="33"/>
          </w:tcPr>
          <w:p w14:paraId="7F2C4728"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 xml:space="preserve">Reviewer </w:t>
            </w:r>
          </w:p>
        </w:tc>
        <w:tc>
          <w:tcPr>
            <w:tcW w:w="3081" w:type="dxa"/>
            <w:shd w:val="clear" w:color="auto" w:fill="C6D9F1" w:themeFill="text2" w:themeFillTint="33"/>
          </w:tcPr>
          <w:p w14:paraId="60B2D113"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Summary of revisions</w:t>
            </w:r>
          </w:p>
        </w:tc>
      </w:tr>
      <w:tr w:rsidR="0035739E" w:rsidRPr="00876E21" w14:paraId="46953C40" w14:textId="77777777" w:rsidTr="00A61812">
        <w:tc>
          <w:tcPr>
            <w:tcW w:w="3080" w:type="dxa"/>
          </w:tcPr>
          <w:p w14:paraId="276026A4" w14:textId="77777777" w:rsidR="0035739E" w:rsidRPr="00876E21" w:rsidRDefault="0035739E" w:rsidP="00A61812">
            <w:pPr>
              <w:rPr>
                <w:rFonts w:ascii="Tahoma" w:hAnsi="Tahoma" w:cs="Tahoma"/>
                <w:sz w:val="20"/>
                <w:szCs w:val="20"/>
                <w:lang w:eastAsia="en-GB"/>
              </w:rPr>
            </w:pPr>
          </w:p>
        </w:tc>
        <w:tc>
          <w:tcPr>
            <w:tcW w:w="3081" w:type="dxa"/>
          </w:tcPr>
          <w:p w14:paraId="2EB72A09" w14:textId="70454C43" w:rsidR="0035739E" w:rsidRPr="00876E21" w:rsidRDefault="0035739E" w:rsidP="00A61812">
            <w:pPr>
              <w:rPr>
                <w:rFonts w:ascii="Tahoma" w:hAnsi="Tahoma" w:cs="Tahoma"/>
                <w:sz w:val="20"/>
                <w:szCs w:val="20"/>
                <w:lang w:eastAsia="en-GB"/>
              </w:rPr>
            </w:pPr>
          </w:p>
        </w:tc>
        <w:tc>
          <w:tcPr>
            <w:tcW w:w="3081" w:type="dxa"/>
          </w:tcPr>
          <w:p w14:paraId="43D4678C" w14:textId="77777777" w:rsidR="0035739E" w:rsidRPr="00876E21" w:rsidRDefault="0035739E" w:rsidP="00A61812">
            <w:pPr>
              <w:rPr>
                <w:rFonts w:ascii="Tahoma" w:hAnsi="Tahoma" w:cs="Tahoma"/>
                <w:sz w:val="20"/>
                <w:szCs w:val="20"/>
                <w:lang w:eastAsia="en-GB"/>
              </w:rPr>
            </w:pPr>
          </w:p>
        </w:tc>
      </w:tr>
      <w:tr w:rsidR="0035739E" w:rsidRPr="00876E21" w14:paraId="33C7A1DD" w14:textId="77777777" w:rsidTr="00A61812">
        <w:tc>
          <w:tcPr>
            <w:tcW w:w="3080" w:type="dxa"/>
          </w:tcPr>
          <w:p w14:paraId="66354DA5" w14:textId="77777777" w:rsidR="0035739E" w:rsidRPr="00876E21" w:rsidRDefault="0035739E" w:rsidP="00A61812">
            <w:pPr>
              <w:rPr>
                <w:rFonts w:ascii="Tahoma" w:hAnsi="Tahoma" w:cs="Tahoma"/>
                <w:sz w:val="20"/>
                <w:szCs w:val="20"/>
                <w:lang w:eastAsia="en-GB"/>
              </w:rPr>
            </w:pPr>
          </w:p>
        </w:tc>
        <w:tc>
          <w:tcPr>
            <w:tcW w:w="3081" w:type="dxa"/>
          </w:tcPr>
          <w:p w14:paraId="25F0B073" w14:textId="77777777" w:rsidR="0035739E" w:rsidRPr="00876E21" w:rsidRDefault="0035739E" w:rsidP="00A61812">
            <w:pPr>
              <w:rPr>
                <w:rFonts w:ascii="Tahoma" w:hAnsi="Tahoma" w:cs="Tahoma"/>
                <w:sz w:val="20"/>
                <w:szCs w:val="20"/>
                <w:lang w:eastAsia="en-GB"/>
              </w:rPr>
            </w:pPr>
          </w:p>
        </w:tc>
        <w:tc>
          <w:tcPr>
            <w:tcW w:w="3081" w:type="dxa"/>
          </w:tcPr>
          <w:p w14:paraId="1DADE8C5" w14:textId="77777777" w:rsidR="0035739E" w:rsidRPr="00876E21" w:rsidRDefault="0035739E" w:rsidP="00A61812">
            <w:pPr>
              <w:rPr>
                <w:rFonts w:ascii="Tahoma" w:hAnsi="Tahoma" w:cs="Tahoma"/>
                <w:sz w:val="20"/>
                <w:szCs w:val="20"/>
                <w:lang w:eastAsia="en-GB"/>
              </w:rPr>
            </w:pPr>
          </w:p>
        </w:tc>
      </w:tr>
      <w:tr w:rsidR="0035739E" w:rsidRPr="00876E21" w14:paraId="31309173" w14:textId="77777777" w:rsidTr="00A61812">
        <w:tc>
          <w:tcPr>
            <w:tcW w:w="3080" w:type="dxa"/>
          </w:tcPr>
          <w:p w14:paraId="0C995C07" w14:textId="77777777" w:rsidR="0035739E" w:rsidRPr="00876E21" w:rsidRDefault="0035739E" w:rsidP="00A61812">
            <w:pPr>
              <w:rPr>
                <w:rFonts w:ascii="Tahoma" w:hAnsi="Tahoma" w:cs="Tahoma"/>
                <w:sz w:val="20"/>
                <w:szCs w:val="20"/>
                <w:lang w:eastAsia="en-GB"/>
              </w:rPr>
            </w:pPr>
          </w:p>
        </w:tc>
        <w:tc>
          <w:tcPr>
            <w:tcW w:w="3081" w:type="dxa"/>
          </w:tcPr>
          <w:p w14:paraId="726C299E" w14:textId="77777777" w:rsidR="0035739E" w:rsidRPr="00876E21" w:rsidRDefault="0035739E" w:rsidP="00A61812">
            <w:pPr>
              <w:rPr>
                <w:rFonts w:ascii="Tahoma" w:hAnsi="Tahoma" w:cs="Tahoma"/>
                <w:sz w:val="20"/>
                <w:szCs w:val="20"/>
                <w:lang w:eastAsia="en-GB"/>
              </w:rPr>
            </w:pPr>
          </w:p>
        </w:tc>
        <w:tc>
          <w:tcPr>
            <w:tcW w:w="3081" w:type="dxa"/>
          </w:tcPr>
          <w:p w14:paraId="3A8591A1" w14:textId="77777777" w:rsidR="0035739E" w:rsidRPr="00876E21" w:rsidRDefault="0035739E" w:rsidP="00A61812">
            <w:pPr>
              <w:rPr>
                <w:rFonts w:ascii="Tahoma" w:hAnsi="Tahoma" w:cs="Tahoma"/>
                <w:sz w:val="20"/>
                <w:szCs w:val="20"/>
                <w:lang w:eastAsia="en-GB"/>
              </w:rPr>
            </w:pPr>
          </w:p>
        </w:tc>
      </w:tr>
      <w:tr w:rsidR="0035739E" w:rsidRPr="00876E21" w14:paraId="416A0E88" w14:textId="77777777" w:rsidTr="00A61812">
        <w:tc>
          <w:tcPr>
            <w:tcW w:w="3080" w:type="dxa"/>
          </w:tcPr>
          <w:p w14:paraId="2F48B8F4" w14:textId="77777777" w:rsidR="0035739E" w:rsidRPr="00876E21" w:rsidRDefault="0035739E" w:rsidP="00A61812">
            <w:pPr>
              <w:rPr>
                <w:rFonts w:ascii="Tahoma" w:hAnsi="Tahoma" w:cs="Tahoma"/>
                <w:sz w:val="20"/>
                <w:szCs w:val="20"/>
                <w:lang w:eastAsia="en-GB"/>
              </w:rPr>
            </w:pPr>
          </w:p>
        </w:tc>
        <w:tc>
          <w:tcPr>
            <w:tcW w:w="3081" w:type="dxa"/>
          </w:tcPr>
          <w:p w14:paraId="13EC29C2" w14:textId="77777777" w:rsidR="0035739E" w:rsidRPr="00876E21" w:rsidRDefault="0035739E" w:rsidP="00A61812">
            <w:pPr>
              <w:rPr>
                <w:rFonts w:ascii="Tahoma" w:hAnsi="Tahoma" w:cs="Tahoma"/>
                <w:sz w:val="20"/>
                <w:szCs w:val="20"/>
                <w:lang w:eastAsia="en-GB"/>
              </w:rPr>
            </w:pPr>
          </w:p>
        </w:tc>
        <w:tc>
          <w:tcPr>
            <w:tcW w:w="3081" w:type="dxa"/>
          </w:tcPr>
          <w:p w14:paraId="660AA508" w14:textId="77777777" w:rsidR="0035739E" w:rsidRPr="00876E21" w:rsidRDefault="0035739E" w:rsidP="00A61812">
            <w:pPr>
              <w:rPr>
                <w:rFonts w:ascii="Tahoma" w:hAnsi="Tahoma" w:cs="Tahoma"/>
                <w:sz w:val="20"/>
                <w:szCs w:val="20"/>
                <w:lang w:eastAsia="en-GB"/>
              </w:rPr>
            </w:pPr>
          </w:p>
        </w:tc>
      </w:tr>
      <w:tr w:rsidR="0035739E" w:rsidRPr="00876E21" w14:paraId="7910C349" w14:textId="77777777" w:rsidTr="00A61812">
        <w:tc>
          <w:tcPr>
            <w:tcW w:w="3080" w:type="dxa"/>
          </w:tcPr>
          <w:p w14:paraId="1CBC3D18" w14:textId="77777777" w:rsidR="0035739E" w:rsidRPr="00876E21" w:rsidRDefault="0035739E" w:rsidP="00A61812">
            <w:pPr>
              <w:rPr>
                <w:rFonts w:ascii="Tahoma" w:hAnsi="Tahoma" w:cs="Tahoma"/>
                <w:sz w:val="20"/>
                <w:szCs w:val="20"/>
                <w:lang w:eastAsia="en-GB"/>
              </w:rPr>
            </w:pPr>
          </w:p>
        </w:tc>
        <w:tc>
          <w:tcPr>
            <w:tcW w:w="3081" w:type="dxa"/>
          </w:tcPr>
          <w:p w14:paraId="7C807258" w14:textId="77777777" w:rsidR="0035739E" w:rsidRPr="00876E21" w:rsidRDefault="0035739E" w:rsidP="00A61812">
            <w:pPr>
              <w:rPr>
                <w:rFonts w:ascii="Tahoma" w:hAnsi="Tahoma" w:cs="Tahoma"/>
                <w:sz w:val="20"/>
                <w:szCs w:val="20"/>
                <w:lang w:eastAsia="en-GB"/>
              </w:rPr>
            </w:pPr>
          </w:p>
        </w:tc>
        <w:tc>
          <w:tcPr>
            <w:tcW w:w="3081" w:type="dxa"/>
          </w:tcPr>
          <w:p w14:paraId="66AF95C0" w14:textId="77777777" w:rsidR="0035739E" w:rsidRPr="00876E21" w:rsidRDefault="0035739E" w:rsidP="00A61812">
            <w:pPr>
              <w:rPr>
                <w:rFonts w:ascii="Tahoma" w:hAnsi="Tahoma" w:cs="Tahoma"/>
                <w:sz w:val="20"/>
                <w:szCs w:val="20"/>
                <w:lang w:eastAsia="en-GB"/>
              </w:rPr>
            </w:pPr>
          </w:p>
        </w:tc>
      </w:tr>
      <w:tr w:rsidR="0035739E" w:rsidRPr="00876E21" w14:paraId="0609680B" w14:textId="77777777" w:rsidTr="00A61812">
        <w:tc>
          <w:tcPr>
            <w:tcW w:w="3080" w:type="dxa"/>
          </w:tcPr>
          <w:p w14:paraId="1320ADE0" w14:textId="77777777" w:rsidR="0035739E" w:rsidRPr="00876E21" w:rsidRDefault="0035739E" w:rsidP="00A61812">
            <w:pPr>
              <w:rPr>
                <w:rFonts w:ascii="Tahoma" w:hAnsi="Tahoma" w:cs="Tahoma"/>
                <w:sz w:val="20"/>
                <w:szCs w:val="20"/>
                <w:lang w:eastAsia="en-GB"/>
              </w:rPr>
            </w:pPr>
          </w:p>
        </w:tc>
        <w:tc>
          <w:tcPr>
            <w:tcW w:w="3081" w:type="dxa"/>
          </w:tcPr>
          <w:p w14:paraId="67BB22A5" w14:textId="77777777" w:rsidR="0035739E" w:rsidRPr="00876E21" w:rsidRDefault="0035739E" w:rsidP="00A61812">
            <w:pPr>
              <w:rPr>
                <w:rFonts w:ascii="Tahoma" w:hAnsi="Tahoma" w:cs="Tahoma"/>
                <w:sz w:val="20"/>
                <w:szCs w:val="20"/>
                <w:lang w:eastAsia="en-GB"/>
              </w:rPr>
            </w:pPr>
          </w:p>
        </w:tc>
        <w:tc>
          <w:tcPr>
            <w:tcW w:w="3081" w:type="dxa"/>
          </w:tcPr>
          <w:p w14:paraId="112CFD98" w14:textId="77777777" w:rsidR="0035739E" w:rsidRPr="00876E21" w:rsidRDefault="0035739E" w:rsidP="00A61812">
            <w:pPr>
              <w:rPr>
                <w:rFonts w:ascii="Tahoma" w:hAnsi="Tahoma" w:cs="Tahoma"/>
                <w:sz w:val="20"/>
                <w:szCs w:val="20"/>
                <w:lang w:eastAsia="en-GB"/>
              </w:rPr>
            </w:pPr>
          </w:p>
        </w:tc>
      </w:tr>
      <w:tr w:rsidR="0035739E" w:rsidRPr="00876E21" w14:paraId="54CC1C6B" w14:textId="77777777" w:rsidTr="00A61812">
        <w:tc>
          <w:tcPr>
            <w:tcW w:w="3080" w:type="dxa"/>
          </w:tcPr>
          <w:p w14:paraId="31E92DD6" w14:textId="77777777" w:rsidR="0035739E" w:rsidRPr="00876E21" w:rsidRDefault="0035739E" w:rsidP="00A61812">
            <w:pPr>
              <w:rPr>
                <w:rFonts w:ascii="Tahoma" w:hAnsi="Tahoma" w:cs="Tahoma"/>
                <w:sz w:val="20"/>
                <w:szCs w:val="20"/>
                <w:lang w:eastAsia="en-GB"/>
              </w:rPr>
            </w:pPr>
          </w:p>
        </w:tc>
        <w:tc>
          <w:tcPr>
            <w:tcW w:w="3081" w:type="dxa"/>
          </w:tcPr>
          <w:p w14:paraId="59903B4A" w14:textId="77777777" w:rsidR="0035739E" w:rsidRPr="00876E21" w:rsidRDefault="0035739E" w:rsidP="00A61812">
            <w:pPr>
              <w:rPr>
                <w:rFonts w:ascii="Tahoma" w:hAnsi="Tahoma" w:cs="Tahoma"/>
                <w:sz w:val="20"/>
                <w:szCs w:val="20"/>
                <w:lang w:eastAsia="en-GB"/>
              </w:rPr>
            </w:pPr>
          </w:p>
        </w:tc>
        <w:tc>
          <w:tcPr>
            <w:tcW w:w="3081" w:type="dxa"/>
          </w:tcPr>
          <w:p w14:paraId="0D3F69D7" w14:textId="77777777" w:rsidR="0035739E" w:rsidRPr="00876E21" w:rsidRDefault="0035739E" w:rsidP="00A61812">
            <w:pPr>
              <w:rPr>
                <w:rFonts w:ascii="Tahoma" w:hAnsi="Tahoma" w:cs="Tahoma"/>
                <w:sz w:val="20"/>
                <w:szCs w:val="20"/>
                <w:lang w:eastAsia="en-GB"/>
              </w:rPr>
            </w:pPr>
          </w:p>
        </w:tc>
      </w:tr>
    </w:tbl>
    <w:p w14:paraId="1B06768D" w14:textId="77777777" w:rsidR="0035739E" w:rsidRPr="00876E21" w:rsidRDefault="0035739E" w:rsidP="0035739E">
      <w:pPr>
        <w:rPr>
          <w:rFonts w:ascii="Tahoma" w:hAnsi="Tahoma" w:cs="Tahoma"/>
          <w:sz w:val="20"/>
          <w:szCs w:val="20"/>
        </w:rPr>
      </w:pPr>
    </w:p>
    <w:p w14:paraId="61FEB7A4" w14:textId="77777777" w:rsidR="00867FA6" w:rsidRPr="00876E21" w:rsidRDefault="00867FA6">
      <w:pPr>
        <w:rPr>
          <w:rFonts w:ascii="Tahoma" w:hAnsi="Tahoma" w:cs="Tahoma"/>
          <w:sz w:val="20"/>
          <w:szCs w:val="20"/>
        </w:rPr>
      </w:pPr>
    </w:p>
    <w:sectPr w:rsidR="00867FA6" w:rsidRPr="00876E21" w:rsidSect="0021558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AD75" w14:textId="77777777" w:rsidR="00785814" w:rsidRDefault="00785814">
      <w:pPr>
        <w:spacing w:after="0" w:line="240" w:lineRule="auto"/>
      </w:pPr>
      <w:r>
        <w:separator/>
      </w:r>
    </w:p>
  </w:endnote>
  <w:endnote w:type="continuationSeparator" w:id="0">
    <w:p w14:paraId="5F418CC3" w14:textId="77777777" w:rsidR="00785814" w:rsidRDefault="0078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1FF5" w14:textId="77777777" w:rsidR="00876E21" w:rsidRPr="004C0F0F" w:rsidRDefault="00876E21" w:rsidP="00876E21">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054B4F">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54B4F">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03</w:t>
    </w:r>
  </w:p>
  <w:p w14:paraId="5B96E620" w14:textId="38E25B94" w:rsidR="00876E21" w:rsidRPr="00C20A5B" w:rsidRDefault="00054B4F" w:rsidP="00876E21">
    <w:pPr>
      <w:pStyle w:val="Footer"/>
      <w:ind w:right="-186"/>
    </w:pPr>
    <w:r>
      <w:rPr>
        <w:rFonts w:ascii="Tahoma" w:hAnsi="Tahoma" w:cs="Tahoma"/>
        <w:sz w:val="16"/>
        <w:szCs w:val="16"/>
      </w:rPr>
      <w:t>Aspris</w:t>
    </w:r>
    <w:r w:rsidR="00876E21" w:rsidRPr="004C0F0F">
      <w:rPr>
        <w:rFonts w:ascii="Tahoma" w:hAnsi="Tahoma" w:cs="Tahoma"/>
        <w:sz w:val="16"/>
        <w:szCs w:val="16"/>
      </w:rPr>
      <w:t xml:space="preserve"> Children’s Services – </w:t>
    </w:r>
    <w:r>
      <w:rPr>
        <w:rFonts w:ascii="Tahoma" w:hAnsi="Tahoma" w:cs="Tahoma"/>
        <w:sz w:val="16"/>
        <w:szCs w:val="16"/>
      </w:rPr>
      <w:t>V0</w:t>
    </w:r>
    <w:r w:rsidR="00683D8F">
      <w:rPr>
        <w:rFonts w:ascii="Tahoma" w:hAnsi="Tahoma" w:cs="Tahoma"/>
        <w:sz w:val="16"/>
        <w:szCs w:val="16"/>
      </w:rPr>
      <w:t>3</w:t>
    </w:r>
    <w:r w:rsidR="00876E21" w:rsidRPr="004C0F0F">
      <w:rPr>
        <w:rFonts w:ascii="Tahoma" w:hAnsi="Tahoma" w:cs="Tahoma"/>
        <w:sz w:val="16"/>
        <w:szCs w:val="16"/>
      </w:rPr>
      <w:t xml:space="preserve"> </w:t>
    </w:r>
    <w:r w:rsidR="00876E21" w:rsidRPr="004C0F0F">
      <w:rPr>
        <w:rFonts w:ascii="Tahoma" w:hAnsi="Tahoma" w:cs="Tahoma"/>
        <w:color w:val="000000"/>
        <w:sz w:val="16"/>
        <w:szCs w:val="16"/>
      </w:rPr>
      <w:t xml:space="preserve">– </w:t>
    </w:r>
    <w:r w:rsidR="00683D8F">
      <w:rPr>
        <w:rFonts w:ascii="Tahoma" w:hAnsi="Tahoma" w:cs="Tahoma"/>
        <w:color w:val="000000"/>
        <w:sz w:val="16"/>
        <w:szCs w:val="16"/>
      </w:rPr>
      <w:t>December</w:t>
    </w:r>
    <w:r>
      <w:rPr>
        <w:rFonts w:ascii="Tahoma" w:hAnsi="Tahoma" w:cs="Tahoma"/>
        <w:color w:val="000000"/>
        <w:sz w:val="16"/>
        <w:szCs w:val="16"/>
      </w:rPr>
      <w:t xml:space="preserve"> 202</w:t>
    </w:r>
    <w:r w:rsidR="00F354BA">
      <w:rPr>
        <w:rFonts w:ascii="Tahoma" w:hAnsi="Tahoma" w:cs="Tahoma"/>
        <w:color w:val="000000"/>
        <w:sz w:val="16"/>
        <w:szCs w:val="16"/>
      </w:rPr>
      <w:t>3</w:t>
    </w:r>
    <w:r w:rsidR="00876E21">
      <w:rPr>
        <w:rFonts w:ascii="Tahoma" w:hAnsi="Tahoma" w:cs="Tahoma"/>
        <w:color w:val="000000"/>
        <w:sz w:val="16"/>
        <w:szCs w:val="16"/>
      </w:rPr>
      <w:t xml:space="preserve"> </w:t>
    </w:r>
    <w:r w:rsidR="00876E21">
      <w:rPr>
        <w:rFonts w:ascii="Tahoma" w:hAnsi="Tahoma" w:cs="Tahoma"/>
        <w:color w:val="000000"/>
        <w:sz w:val="16"/>
        <w:szCs w:val="16"/>
      </w:rPr>
      <w:tab/>
    </w:r>
    <w:r w:rsidR="00876E21" w:rsidRPr="004C0F0F">
      <w:rPr>
        <w:rFonts w:ascii="Tahoma" w:hAnsi="Tahoma" w:cs="Tahoma"/>
        <w:sz w:val="16"/>
      </w:rPr>
      <w:t xml:space="preserve"> </w:t>
    </w:r>
    <w:r w:rsidR="00876E21">
      <w:rPr>
        <w:rFonts w:ascii="Tahoma" w:hAnsi="Tahoma" w:cs="Tahoma"/>
        <w:sz w:val="16"/>
      </w:rPr>
      <w:tab/>
    </w:r>
    <w:r w:rsidR="00876E21" w:rsidRPr="00C20A5B">
      <w:rPr>
        <w:rFonts w:ascii="Tahoma" w:hAnsi="Tahoma" w:cs="Tahoma"/>
        <w:sz w:val="16"/>
      </w:rPr>
      <w:t xml:space="preserve">Page </w:t>
    </w:r>
    <w:r w:rsidR="00876E21" w:rsidRPr="00C20A5B">
      <w:rPr>
        <w:rStyle w:val="PageNumber"/>
        <w:rFonts w:ascii="Tahoma" w:hAnsi="Tahoma" w:cs="Tahoma"/>
        <w:sz w:val="16"/>
      </w:rPr>
      <w:fldChar w:fldCharType="begin"/>
    </w:r>
    <w:r w:rsidR="00876E21" w:rsidRPr="00C20A5B">
      <w:rPr>
        <w:rStyle w:val="PageNumber"/>
        <w:rFonts w:ascii="Tahoma" w:hAnsi="Tahoma" w:cs="Tahoma"/>
        <w:sz w:val="16"/>
      </w:rPr>
      <w:instrText xml:space="preserve"> PAGE </w:instrText>
    </w:r>
    <w:r w:rsidR="00876E21" w:rsidRPr="00C20A5B">
      <w:rPr>
        <w:rStyle w:val="PageNumber"/>
        <w:rFonts w:ascii="Tahoma" w:hAnsi="Tahoma" w:cs="Tahoma"/>
        <w:sz w:val="16"/>
      </w:rPr>
      <w:fldChar w:fldCharType="separate"/>
    </w:r>
    <w:r>
      <w:rPr>
        <w:rStyle w:val="PageNumber"/>
        <w:rFonts w:ascii="Tahoma" w:hAnsi="Tahoma" w:cs="Tahoma"/>
        <w:noProof/>
        <w:sz w:val="16"/>
      </w:rPr>
      <w:t>1</w:t>
    </w:r>
    <w:r w:rsidR="00876E21" w:rsidRPr="00C20A5B">
      <w:rPr>
        <w:rStyle w:val="PageNumber"/>
        <w:rFonts w:ascii="Tahoma" w:hAnsi="Tahoma" w:cs="Tahoma"/>
        <w:sz w:val="16"/>
      </w:rPr>
      <w:fldChar w:fldCharType="end"/>
    </w:r>
    <w:r w:rsidR="00876E21" w:rsidRPr="00C20A5B">
      <w:rPr>
        <w:rFonts w:ascii="Tahoma" w:hAnsi="Tahoma" w:cs="Tahoma"/>
        <w:sz w:val="16"/>
      </w:rPr>
      <w:t xml:space="preserve"> of </w:t>
    </w:r>
    <w:r w:rsidR="00876E21" w:rsidRPr="00C20A5B">
      <w:rPr>
        <w:rFonts w:ascii="Tahoma" w:hAnsi="Tahoma" w:cs="Tahoma"/>
        <w:sz w:val="16"/>
        <w:szCs w:val="16"/>
      </w:rPr>
      <w:fldChar w:fldCharType="begin"/>
    </w:r>
    <w:r w:rsidR="00876E21" w:rsidRPr="00C20A5B">
      <w:rPr>
        <w:rFonts w:ascii="Tahoma" w:hAnsi="Tahoma" w:cs="Tahoma"/>
        <w:sz w:val="16"/>
        <w:szCs w:val="16"/>
      </w:rPr>
      <w:instrText xml:space="preserve"> NUMPAGES  </w:instrText>
    </w:r>
    <w:r w:rsidR="00876E21" w:rsidRPr="00C20A5B">
      <w:rPr>
        <w:rFonts w:ascii="Tahoma" w:hAnsi="Tahoma" w:cs="Tahoma"/>
        <w:sz w:val="16"/>
        <w:szCs w:val="16"/>
      </w:rPr>
      <w:fldChar w:fldCharType="separate"/>
    </w:r>
    <w:r>
      <w:rPr>
        <w:rFonts w:ascii="Tahoma" w:hAnsi="Tahoma" w:cs="Tahoma"/>
        <w:noProof/>
        <w:sz w:val="16"/>
        <w:szCs w:val="16"/>
      </w:rPr>
      <w:t>2</w:t>
    </w:r>
    <w:r w:rsidR="00876E21" w:rsidRPr="00C20A5B">
      <w:rPr>
        <w:rFonts w:ascii="Tahoma" w:hAnsi="Tahoma" w:cs="Tahoma"/>
        <w:sz w:val="16"/>
        <w:szCs w:val="16"/>
      </w:rPr>
      <w:fldChar w:fldCharType="end"/>
    </w:r>
  </w:p>
  <w:p w14:paraId="470737A9" w14:textId="77777777" w:rsidR="00F354BA" w:rsidRPr="00876E21" w:rsidRDefault="00F354BA" w:rsidP="0087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050D" w14:textId="77777777" w:rsidR="00785814" w:rsidRDefault="00785814">
      <w:pPr>
        <w:spacing w:after="0" w:line="240" w:lineRule="auto"/>
      </w:pPr>
      <w:r>
        <w:separator/>
      </w:r>
    </w:p>
  </w:footnote>
  <w:footnote w:type="continuationSeparator" w:id="0">
    <w:p w14:paraId="5BFB0769" w14:textId="77777777" w:rsidR="00785814" w:rsidRDefault="0078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5C35" w14:textId="77777777" w:rsidR="00F354BA" w:rsidRDefault="00F354BA">
    <w:pPr>
      <w:pStyle w:val="Header"/>
    </w:pPr>
  </w:p>
  <w:p w14:paraId="3D8F64BF" w14:textId="77777777" w:rsidR="00F2319C" w:rsidRDefault="00F231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241B"/>
    <w:multiLevelType w:val="multilevel"/>
    <w:tmpl w:val="7472DA4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38CD45D8"/>
    <w:multiLevelType w:val="hybridMultilevel"/>
    <w:tmpl w:val="623A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9A1BB1"/>
    <w:multiLevelType w:val="hybridMultilevel"/>
    <w:tmpl w:val="2408C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7F4A87"/>
    <w:multiLevelType w:val="hybridMultilevel"/>
    <w:tmpl w:val="6906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7473AB"/>
    <w:multiLevelType w:val="hybridMultilevel"/>
    <w:tmpl w:val="BF1289B4"/>
    <w:lvl w:ilvl="0" w:tplc="258E43B4">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66721292">
    <w:abstractNumId w:val="4"/>
  </w:num>
  <w:num w:numId="2" w16cid:durableId="1386559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957554">
    <w:abstractNumId w:val="0"/>
  </w:num>
  <w:num w:numId="4" w16cid:durableId="583607998">
    <w:abstractNumId w:val="1"/>
  </w:num>
  <w:num w:numId="5" w16cid:durableId="1482116783">
    <w:abstractNumId w:val="3"/>
  </w:num>
  <w:num w:numId="6" w16cid:durableId="542059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65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9E"/>
    <w:rsid w:val="00054B4F"/>
    <w:rsid w:val="00152C96"/>
    <w:rsid w:val="001B6AA9"/>
    <w:rsid w:val="00221F5D"/>
    <w:rsid w:val="002441DF"/>
    <w:rsid w:val="002D7FFB"/>
    <w:rsid w:val="00300797"/>
    <w:rsid w:val="00326FFE"/>
    <w:rsid w:val="0035739E"/>
    <w:rsid w:val="00461BAD"/>
    <w:rsid w:val="00472E2C"/>
    <w:rsid w:val="004D4B8C"/>
    <w:rsid w:val="004F2B1D"/>
    <w:rsid w:val="005555CB"/>
    <w:rsid w:val="005E0881"/>
    <w:rsid w:val="00661882"/>
    <w:rsid w:val="00683D8F"/>
    <w:rsid w:val="00710730"/>
    <w:rsid w:val="00785814"/>
    <w:rsid w:val="007C00E3"/>
    <w:rsid w:val="007F5312"/>
    <w:rsid w:val="00867FA6"/>
    <w:rsid w:val="00875283"/>
    <w:rsid w:val="00876E21"/>
    <w:rsid w:val="00A20623"/>
    <w:rsid w:val="00A8260E"/>
    <w:rsid w:val="00AA56C0"/>
    <w:rsid w:val="00B1362B"/>
    <w:rsid w:val="00B90983"/>
    <w:rsid w:val="00B95982"/>
    <w:rsid w:val="00BE3FC1"/>
    <w:rsid w:val="00C345E0"/>
    <w:rsid w:val="00CA187F"/>
    <w:rsid w:val="00DA5FF9"/>
    <w:rsid w:val="00DD3092"/>
    <w:rsid w:val="00E10E38"/>
    <w:rsid w:val="00ED753B"/>
    <w:rsid w:val="00F2319C"/>
    <w:rsid w:val="00F354BA"/>
    <w:rsid w:val="00F42ED3"/>
    <w:rsid w:val="00F52571"/>
    <w:rsid w:val="00FD11F8"/>
    <w:rsid w:val="00FE5C33"/>
    <w:rsid w:val="00FF1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C3062"/>
  <w15:docId w15:val="{0537CCA2-A8CA-4B67-999A-58DADAE8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39E"/>
  </w:style>
  <w:style w:type="paragraph" w:styleId="Footer">
    <w:name w:val="footer"/>
    <w:basedOn w:val="Normal"/>
    <w:link w:val="FooterChar"/>
    <w:uiPriority w:val="99"/>
    <w:unhideWhenUsed/>
    <w:rsid w:val="00357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39E"/>
  </w:style>
  <w:style w:type="table" w:styleId="TableGrid">
    <w:name w:val="Table Grid"/>
    <w:basedOn w:val="TableNormal"/>
    <w:uiPriority w:val="59"/>
    <w:rsid w:val="0035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39E"/>
    <w:pPr>
      <w:ind w:left="720"/>
      <w:contextualSpacing/>
    </w:pPr>
  </w:style>
  <w:style w:type="character" w:styleId="PageNumber">
    <w:name w:val="page number"/>
    <w:basedOn w:val="DefaultParagraphFont"/>
    <w:rsid w:val="00876E21"/>
  </w:style>
  <w:style w:type="paragraph" w:styleId="Revision">
    <w:name w:val="Revision"/>
    <w:hidden/>
    <w:uiPriority w:val="99"/>
    <w:semiHidden/>
    <w:rsid w:val="00683D8F"/>
    <w:pPr>
      <w:spacing w:after="0" w:line="240" w:lineRule="auto"/>
    </w:pPr>
  </w:style>
  <w:style w:type="character" w:styleId="Hyperlink">
    <w:name w:val="Hyperlink"/>
    <w:rsid w:val="00B90983"/>
    <w:rPr>
      <w:color w:val="0000FF"/>
      <w:u w:val="single"/>
    </w:rPr>
  </w:style>
  <w:style w:type="character" w:styleId="UnresolvedMention">
    <w:name w:val="Unresolved Mention"/>
    <w:basedOn w:val="DefaultParagraphFont"/>
    <w:uiPriority w:val="99"/>
    <w:semiHidden/>
    <w:unhideWhenUsed/>
    <w:rsid w:val="00AA56C0"/>
    <w:rPr>
      <w:color w:val="605E5C"/>
      <w:shd w:val="clear" w:color="auto" w:fill="E1DFDD"/>
    </w:rPr>
  </w:style>
  <w:style w:type="paragraph" w:styleId="NoSpacing">
    <w:name w:val="No Spacing"/>
    <w:uiPriority w:val="1"/>
    <w:qFormat/>
    <w:rsid w:val="001B6AA9"/>
    <w:pPr>
      <w:spacing w:after="0" w:line="240" w:lineRule="auto"/>
    </w:pPr>
  </w:style>
  <w:style w:type="character" w:customStyle="1" w:styleId="BodyTextChar">
    <w:name w:val="Body Text Char"/>
    <w:aliases w:val="Priory documents Char"/>
    <w:basedOn w:val="DefaultParagraphFont"/>
    <w:link w:val="BodyText"/>
    <w:locked/>
    <w:rsid w:val="00F52571"/>
    <w:rPr>
      <w:rFonts w:ascii="Verdana" w:hAnsi="Verdana"/>
    </w:rPr>
  </w:style>
  <w:style w:type="paragraph" w:styleId="BodyText">
    <w:name w:val="Body Text"/>
    <w:aliases w:val="Priory documents"/>
    <w:basedOn w:val="Normal"/>
    <w:link w:val="BodyTextChar"/>
    <w:unhideWhenUsed/>
    <w:rsid w:val="00F52571"/>
    <w:pPr>
      <w:overflowPunct w:val="0"/>
      <w:autoSpaceDE w:val="0"/>
      <w:autoSpaceDN w:val="0"/>
      <w:adjustRightInd w:val="0"/>
      <w:spacing w:after="0" w:line="240" w:lineRule="auto"/>
      <w:jc w:val="both"/>
    </w:pPr>
    <w:rPr>
      <w:rFonts w:ascii="Verdana" w:hAnsi="Verdana"/>
    </w:rPr>
  </w:style>
  <w:style w:type="character" w:customStyle="1" w:styleId="BodyTextChar1">
    <w:name w:val="Body Text Char1"/>
    <w:basedOn w:val="DefaultParagraphFont"/>
    <w:uiPriority w:val="99"/>
    <w:semiHidden/>
    <w:rsid w:val="00F52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Priory Group</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Dina Webber</cp:lastModifiedBy>
  <cp:revision>4</cp:revision>
  <dcterms:created xsi:type="dcterms:W3CDTF">2026-04-16T14:29:00Z</dcterms:created>
  <dcterms:modified xsi:type="dcterms:W3CDTF">2026-04-16T17:47:00Z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f5815026d9f690fefba6adba56b1737b95c2bcf2993a6ccbe679f10199687f1f</vt:lpwstr>
  </property>
</Properties>
</file>